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Изх.№36</w:t>
      </w:r>
      <w:r>
        <w:rPr>
          <w:rFonts w:ascii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sz w:val="20"/>
          <w:szCs w:val="20"/>
        </w:rPr>
        <w:t>/ 21.0</w:t>
      </w:r>
      <w:r>
        <w:rPr>
          <w:rFonts w:ascii="Verdana" w:hAnsi="Verdana" w:cs="Verdana"/>
          <w:sz w:val="20"/>
          <w:szCs w:val="20"/>
          <w:lang w:val="en-US"/>
        </w:rPr>
        <w:t>7</w:t>
      </w:r>
      <w:r>
        <w:rPr>
          <w:rFonts w:ascii="Verdana" w:hAnsi="Verdana" w:cs="Verdana"/>
          <w:sz w:val="20"/>
          <w:szCs w:val="20"/>
        </w:rPr>
        <w:t xml:space="preserve">.2015 г.         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>До:</w:t>
      </w:r>
    </w:p>
    <w:p w:rsidR="00CA5CD8" w:rsidRDefault="00CA5CD8" w:rsidP="00CA5CD8">
      <w:pPr>
        <w:spacing w:after="120" w:line="360" w:lineRule="auto"/>
        <w:ind w:left="566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Инж. Тони Кръстев</w:t>
      </w:r>
    </w:p>
    <w:p w:rsidR="00CA5CD8" w:rsidRDefault="00CA5CD8" w:rsidP="00CA5CD8">
      <w:pPr>
        <w:spacing w:after="120" w:line="360" w:lineRule="auto"/>
        <w:ind w:left="566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Изпълнителен директор на ИАГ</w:t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b/>
          <w:sz w:val="20"/>
          <w:szCs w:val="20"/>
        </w:rPr>
      </w:pPr>
    </w:p>
    <w:p w:rsidR="00CA5CD8" w:rsidRDefault="00CA5CD8" w:rsidP="00CA5CD8">
      <w:pPr>
        <w:spacing w:after="120" w:line="360" w:lineRule="auto"/>
        <w:rPr>
          <w:rFonts w:ascii="Verdana" w:hAnsi="Verdana" w:cs="Verdana"/>
          <w:b/>
          <w:sz w:val="20"/>
          <w:szCs w:val="20"/>
        </w:rPr>
      </w:pP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Относно: </w:t>
      </w:r>
      <w:r>
        <w:rPr>
          <w:rFonts w:ascii="Verdana" w:hAnsi="Verdana" w:cs="Verdana"/>
          <w:sz w:val="20"/>
          <w:szCs w:val="20"/>
        </w:rPr>
        <w:t>организиране на съвместни проверки за незаконно строителство по Черноморието (ваш изх. номер 22172/26.06.2015)</w:t>
      </w:r>
    </w:p>
    <w:p w:rsidR="00CA5CD8" w:rsidRDefault="00CA5CD8" w:rsidP="00CA5CD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Уважаеми г-н Кръстев,</w:t>
      </w:r>
    </w:p>
    <w:p w:rsidR="00CA5CD8" w:rsidRDefault="00CA5CD8" w:rsidP="00CA5CD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Българска фондация Биоразнообразие и нашите партньори от Коалицията от НПО и граждански групи „За да остане природа в България“ приветства инициативата на ИАГ да организира проверки на незаконни строителство по българското Черноморие. </w:t>
      </w:r>
    </w:p>
    <w:p w:rsidR="00CA5CD8" w:rsidRDefault="00CA5CD8" w:rsidP="00CA5CD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Имайки предвид, че някои обекти с евентуално извършващи се или вече извършени на тяхна територия нарушения попадат извън територията на горския фонд и нарушават други нормативни актове (ЗООС, ЗУТ, ЗБР и др.), излизащи извън компетентността на ИАГ, молим – където това е приложимо при настоящите проверки да предприемете необходимите действия по чл. 31, ал.</w:t>
      </w:r>
      <w:proofErr w:type="spellStart"/>
      <w:r>
        <w:rPr>
          <w:rFonts w:ascii="Verdana" w:hAnsi="Verdana" w:cs="Verdana"/>
          <w:sz w:val="20"/>
          <w:szCs w:val="20"/>
        </w:rPr>
        <w:t>ал</w:t>
      </w:r>
      <w:proofErr w:type="spellEnd"/>
      <w:r>
        <w:rPr>
          <w:rFonts w:ascii="Verdana" w:hAnsi="Verdana" w:cs="Verdana"/>
          <w:sz w:val="20"/>
          <w:szCs w:val="20"/>
        </w:rPr>
        <w:t>. 2 и 5 от АПК в проверките да вземат участие също представители на съответните Регионални дирекции „Национален строителен контрол“ към МРРБ и Регионални инспекции по околна среда и води към МОСВ.</w:t>
      </w:r>
    </w:p>
    <w:p w:rsidR="00CA5CD8" w:rsidRDefault="00CA5CD8" w:rsidP="00CA5CD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Прилагаме три приложения със списъци за потенциални обекти за проверка в района на Природен парк „Странджа“, </w:t>
      </w:r>
      <w:proofErr w:type="spellStart"/>
      <w:r>
        <w:rPr>
          <w:rFonts w:ascii="Verdana" w:hAnsi="Verdana" w:cs="Verdana"/>
          <w:sz w:val="20"/>
          <w:szCs w:val="20"/>
        </w:rPr>
        <w:t>Иракли</w:t>
      </w:r>
      <w:proofErr w:type="spellEnd"/>
      <w:r>
        <w:rPr>
          <w:rFonts w:ascii="Verdana" w:hAnsi="Verdana" w:cs="Verdana"/>
          <w:sz w:val="20"/>
          <w:szCs w:val="20"/>
        </w:rPr>
        <w:t xml:space="preserve"> и Слънчев бряг.</w:t>
      </w:r>
    </w:p>
    <w:p w:rsidR="00CA5CD8" w:rsidRPr="0097543B" w:rsidRDefault="00CA5CD8" w:rsidP="00CA5CD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Също така предлагаме да бъде извършена проверка на всички заменени гори по Черноморското крайбрежие за това, как се прилага параграф 3 от Закона за горите. </w:t>
      </w:r>
    </w:p>
    <w:p w:rsidR="00CA5CD8" w:rsidRDefault="00CA5CD8" w:rsidP="00CA5CD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Моля да ни уведомите за графика на планираните проверки, така че да можем да включим компетентни хора в проверките на съответния район/обект от списъка, който ви изпращаме.</w:t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С уважение:</w:t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Йорданка Динева</w:t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Координатор кампании</w:t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Българска Фондация Биоразнообразие</w:t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Тел. 0896 79 89 02</w:t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  <w:sectPr w:rsidR="00CA5CD8" w:rsidSect="00CA5CD8">
          <w:headerReference w:type="first" r:id="rId10"/>
          <w:footerReference w:type="first" r:id="rId11"/>
          <w:type w:val="continuous"/>
          <w:pgSz w:w="16838" w:h="11906"/>
          <w:pgMar w:top="707" w:right="1417" w:bottom="1417" w:left="810" w:header="142" w:footer="318" w:gutter="0"/>
          <w:cols w:space="708"/>
          <w:titlePg/>
          <w:docGrid w:linePitch="360"/>
        </w:sectPr>
      </w:pPr>
    </w:p>
    <w:p w:rsidR="00CA5CD8" w:rsidRDefault="00CA5CD8" w:rsidP="00CA5CD8">
      <w:pPr>
        <w:spacing w:after="0"/>
        <w:jc w:val="center"/>
        <w:rPr>
          <w:rFonts w:ascii="Verdana" w:eastAsia="Times New Roman" w:hAnsi="Verdana" w:cs="Verdana"/>
          <w:b/>
          <w:bCs/>
          <w:color w:val="000000"/>
          <w:sz w:val="20"/>
          <w:szCs w:val="20"/>
          <w:u w:val="single"/>
          <w:lang w:eastAsia="bg-BG"/>
        </w:rPr>
      </w:pPr>
      <w:r>
        <w:rPr>
          <w:rFonts w:ascii="Verdana" w:eastAsia="Times New Roman" w:hAnsi="Verdana" w:cs="Verdana"/>
          <w:b/>
          <w:bCs/>
          <w:color w:val="000000"/>
          <w:sz w:val="20"/>
          <w:szCs w:val="20"/>
          <w:u w:val="single"/>
          <w:lang w:eastAsia="bg-BG"/>
        </w:rPr>
        <w:t>Приложение 1 – списък с потенциални обекти за проверка в ПП Странджа</w:t>
      </w:r>
    </w:p>
    <w:p w:rsidR="00CA5CD8" w:rsidRDefault="00CA5CD8" w:rsidP="00CA5CD8">
      <w:pPr>
        <w:spacing w:after="0"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CA5CD8" w:rsidRDefault="00CA5CD8" w:rsidP="00CA5CD8">
      <w:pPr>
        <w:spacing w:after="0"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в землището на с. Варвара, м Дълбок дол, т.н. ваканционно селище „Златна перла", все още теренът в земеделските имоти не е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рекултивиран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, като са налични значително количество от строителните отпадъци и преобладаващата част от съоръжения под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кота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 нула.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землището на с. Варвара, непосредствено източно от селото, многобройни обекти – над 30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землището на гр. Ахтопол, непосредствено в бившия къмпинг „Делфин" – около 15 постройки, повечето - временни. 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землището на гр. Ахтопол, непосредствено СЗ от регулационната граница, почивни станции върху земеделска земя, около 150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землището на гр. Ахтопол, непосредствено ЮИ от регулационната граница, стопанска и промишлена зона и множество постройки от „вилен тип" в лозовите масиви на града – общо около 30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землището на гр. Ахтопол, м.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Айроди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, в границите на ЗМ „Устие на река Велека" – 15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землището на гр. Ахтопол, м.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Ахтото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, в границите на ЗМ „Устие на река Велека" – 5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землището на с. Синеморец, около стабилизирания път за м. Крушката - 15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землището на с. Синеморец, м. Поляните, 25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землището на с. Резово, североизточно от регулационната граница, под гробищата на селото - 5 постройки. 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землището на с. Бродилово, непосредствено СЗ от регулационната граница, стопанска зона и множество постройки от „вилен тип" в лозовите масиви на селището – общо около 25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м.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Качул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, в землищата на с. Граматиково и гр. Малко Търново, непосредствено край река Велека, в близост до първокласния път Царево – Малко Търново – общо около 30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 xml:space="preserve">околност на барите в м.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Докузак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, в землището на с. Стоилово  - 3 постройки.</w:t>
      </w:r>
    </w:p>
    <w:p w:rsidR="00CA5CD8" w:rsidRDefault="00CA5CD8" w:rsidP="00CA5CD8">
      <w:pPr>
        <w:pStyle w:val="ListParagraph1"/>
        <w:numPr>
          <w:ilvl w:val="0"/>
          <w:numId w:val="1"/>
        </w:numPr>
        <w:tabs>
          <w:tab w:val="clear" w:pos="709"/>
        </w:tabs>
        <w:spacing w:after="0" w:line="276" w:lineRule="auto"/>
        <w:contextualSpacing/>
        <w:jc w:val="both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t>землището на с. Младежко, непосредствено западно от регулационната граница  на селото -12 постройки, собственост на „Летище Бургас".</w:t>
      </w:r>
    </w:p>
    <w:p w:rsidR="00CA5CD8" w:rsidRDefault="00CA5CD8" w:rsidP="00CA5CD8">
      <w:pPr>
        <w:spacing w:after="0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</w:pPr>
    </w:p>
    <w:p w:rsidR="00CA5CD8" w:rsidRDefault="00CA5CD8" w:rsidP="00CA5CD8">
      <w:pPr>
        <w:spacing w:after="0"/>
        <w:rPr>
          <w:rFonts w:ascii="Verdana" w:eastAsia="Times New Roman" w:hAnsi="Verdana" w:cs="Verdana"/>
          <w:color w:val="000000"/>
          <w:sz w:val="20"/>
          <w:szCs w:val="20"/>
          <w:lang w:eastAsia="bg-BG"/>
        </w:rPr>
        <w:sectPr w:rsidR="00CA5CD8" w:rsidSect="00CA5CD8">
          <w:type w:val="continuous"/>
          <w:pgSz w:w="16838" w:h="11906"/>
          <w:pgMar w:top="1417" w:right="1417" w:bottom="1417" w:left="1417" w:header="708" w:footer="708" w:gutter="0"/>
          <w:cols w:space="708"/>
          <w:docGrid w:linePitch="360"/>
        </w:sectPr>
      </w:pPr>
    </w:p>
    <w:p w:rsidR="00CA5CD8" w:rsidRDefault="00CA5CD8" w:rsidP="00CA5CD8">
      <w:pPr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</w:p>
    <w:p w:rsidR="00CA5CD8" w:rsidRPr="004A5D4A" w:rsidRDefault="00CA5CD8" w:rsidP="00CA5CD8">
      <w:pPr>
        <w:rPr>
          <w:rFonts w:ascii="Verdana" w:hAnsi="Verdana" w:cs="Verdana"/>
          <w:b/>
          <w:bCs/>
          <w:sz w:val="20"/>
          <w:szCs w:val="20"/>
          <w:u w:val="single"/>
          <w:lang w:val="en-US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Приложение 2 – Предложение за обекти за проверка в района на </w:t>
      </w:r>
      <w:proofErr w:type="spellStart"/>
      <w:r>
        <w:rPr>
          <w:rFonts w:ascii="Verdana" w:hAnsi="Verdana" w:cs="Verdana"/>
          <w:b/>
          <w:bCs/>
          <w:sz w:val="20"/>
          <w:szCs w:val="20"/>
          <w:u w:val="single"/>
        </w:rPr>
        <w:t>Иракли</w:t>
      </w:r>
      <w:proofErr w:type="spellEnd"/>
    </w:p>
    <w:p w:rsidR="00CA5CD8" w:rsidRPr="004A5D4A" w:rsidRDefault="00CA5CD8" w:rsidP="00CA5CD8">
      <w:pPr>
        <w:jc w:val="center"/>
        <w:rPr>
          <w:rFonts w:ascii="Verdana" w:hAnsi="Verdana" w:cs="Verdana"/>
          <w:sz w:val="20"/>
          <w:szCs w:val="20"/>
          <w:u w:val="single"/>
          <w:lang w:val="en-US"/>
        </w:rPr>
      </w:pPr>
      <w:r>
        <w:rPr>
          <w:rFonts w:ascii="Verdana" w:hAnsi="Verdana" w:cs="Verdana"/>
          <w:sz w:val="20"/>
          <w:szCs w:val="20"/>
          <w:u w:val="single"/>
        </w:rPr>
        <w:t>Списък със ПИ, в района на местност ‘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Иракли’</w:t>
      </w:r>
      <w:proofErr w:type="spellEnd"/>
      <w:r>
        <w:rPr>
          <w:rFonts w:ascii="Verdana" w:hAnsi="Verdana" w:cs="Verdana"/>
          <w:sz w:val="20"/>
          <w:szCs w:val="20"/>
          <w:u w:val="single"/>
        </w:rPr>
        <w:t>, върху които се извършва строителство на ваканционни селища</w:t>
      </w:r>
    </w:p>
    <w:tbl>
      <w:tblPr>
        <w:tblpPr w:leftFromText="141" w:rightFromText="141" w:vertAnchor="page" w:horzAnchor="margin" w:tblpXSpec="center" w:tblpY="367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36"/>
        <w:gridCol w:w="2126"/>
        <w:gridCol w:w="2694"/>
        <w:gridCol w:w="2835"/>
      </w:tblGrid>
      <w:tr w:rsidR="00CA5CD8" w:rsidTr="00482190">
        <w:tc>
          <w:tcPr>
            <w:tcW w:w="565" w:type="dxa"/>
          </w:tcPr>
          <w:p w:rsidR="00CA5CD8" w:rsidRDefault="00CA5CD8" w:rsidP="00482190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N</w:t>
            </w:r>
          </w:p>
        </w:tc>
        <w:tc>
          <w:tcPr>
            <w:tcW w:w="2836" w:type="dxa"/>
          </w:tcPr>
          <w:p w:rsidR="00CA5CD8" w:rsidRDefault="00CA5CD8" w:rsidP="00482190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Идентификатор ПИ</w:t>
            </w:r>
          </w:p>
        </w:tc>
        <w:tc>
          <w:tcPr>
            <w:tcW w:w="2126" w:type="dxa"/>
          </w:tcPr>
          <w:p w:rsidR="00CA5CD8" w:rsidRDefault="00CA5CD8" w:rsidP="00482190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Издател на разрешителното за строеж</w:t>
            </w:r>
          </w:p>
        </w:tc>
        <w:tc>
          <w:tcPr>
            <w:tcW w:w="2694" w:type="dxa"/>
          </w:tcPr>
          <w:p w:rsidR="00CA5CD8" w:rsidRDefault="00CA5CD8" w:rsidP="00482190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Собственик</w:t>
            </w:r>
          </w:p>
        </w:tc>
        <w:tc>
          <w:tcPr>
            <w:tcW w:w="2835" w:type="dxa"/>
          </w:tcPr>
          <w:p w:rsidR="00CA5CD8" w:rsidRDefault="00CA5CD8" w:rsidP="00482190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Инвеститор</w:t>
            </w:r>
          </w:p>
        </w:tc>
      </w:tr>
      <w:tr w:rsidR="00CA5CD8" w:rsidTr="00482190">
        <w:tc>
          <w:tcPr>
            <w:tcW w:w="565" w:type="dxa"/>
          </w:tcPr>
          <w:p w:rsidR="00CA5CD8" w:rsidRDefault="00CA5CD8" w:rsidP="00482190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836" w:type="dxa"/>
          </w:tcPr>
          <w:p w:rsidR="00CA5CD8" w:rsidRDefault="00CA5CD8" w:rsidP="00482190">
            <w:pPr>
              <w:spacing w:after="0"/>
              <w:jc w:val="both"/>
              <w:rPr>
                <w:rFonts w:ascii="Verdana" w:eastAsia="Georgia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Georgia" w:hAnsi="Verdana" w:cs="Verdana"/>
                <w:b/>
                <w:bCs/>
                <w:sz w:val="20"/>
                <w:szCs w:val="20"/>
                <w:lang w:eastAsia="zh-CN"/>
              </w:rPr>
              <w:t>ПИ 27454.23.63</w:t>
            </w:r>
            <w:r>
              <w:rPr>
                <w:rFonts w:ascii="Verdana" w:eastAsia="Georgia" w:hAnsi="Verdana" w:cs="Verdana"/>
                <w:sz w:val="20"/>
                <w:szCs w:val="20"/>
                <w:lang w:eastAsia="zh-CN"/>
              </w:rPr>
              <w:t>, землище на с.Емона, местност „</w:t>
            </w:r>
            <w:proofErr w:type="spellStart"/>
            <w:r>
              <w:rPr>
                <w:rFonts w:ascii="Verdana" w:eastAsia="Georgia" w:hAnsi="Verdana" w:cs="Verdana"/>
                <w:sz w:val="20"/>
                <w:szCs w:val="20"/>
                <w:lang w:eastAsia="zh-CN"/>
              </w:rPr>
              <w:t>Кладери</w:t>
            </w:r>
            <w:proofErr w:type="spellEnd"/>
            <w:r>
              <w:rPr>
                <w:rFonts w:ascii="Verdana" w:eastAsia="Georgia" w:hAnsi="Verdana" w:cs="Verdana"/>
                <w:sz w:val="20"/>
                <w:szCs w:val="20"/>
                <w:lang w:eastAsia="zh-CN"/>
              </w:rPr>
              <w:t>”, община Несебър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eastAsia="Georgia" w:hAnsi="Verdana" w:cs="Verdana"/>
                <w:sz w:val="20"/>
                <w:szCs w:val="20"/>
                <w:lang w:eastAsia="zh-CN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eastAsia="Georgia" w:hAnsi="Verdana" w:cs="Verdana"/>
                <w:sz w:val="20"/>
                <w:szCs w:val="20"/>
              </w:rPr>
            </w:pPr>
            <w:r>
              <w:rPr>
                <w:rFonts w:ascii="Verdana" w:eastAsia="Georgia" w:hAnsi="Verdana" w:cs="Verdana"/>
                <w:sz w:val="20"/>
                <w:szCs w:val="20"/>
                <w:lang w:eastAsia="zh-CN"/>
              </w:rPr>
              <w:t xml:space="preserve">-- </w:t>
            </w:r>
            <w:r>
              <w:rPr>
                <w:rFonts w:ascii="Verdana" w:eastAsia="Georgia" w:hAnsi="Verdana" w:cs="Verdana"/>
                <w:sz w:val="20"/>
                <w:szCs w:val="20"/>
              </w:rPr>
              <w:t>„Ваканционно селище – 9бр. едноетажни ваканционни бунгала А-А9, 5бр. двуетажни ваканционни бунгала Б1-Б5 и 3бр. складове с басейни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eastAsia="Georgia" w:hAnsi="Verdana" w:cs="Verdana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CA5CD8" w:rsidRDefault="00CA5CD8" w:rsidP="00482190">
            <w:pPr>
              <w:spacing w:after="0"/>
              <w:jc w:val="center"/>
              <w:rPr>
                <w:rFonts w:ascii="Verdana" w:eastAsia="Georgia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Georgia" w:hAnsi="Verdana" w:cs="Verdana"/>
                <w:sz w:val="20"/>
                <w:szCs w:val="20"/>
                <w:lang w:eastAsia="zh-CN"/>
              </w:rPr>
              <w:t>Община Несебър</w:t>
            </w:r>
          </w:p>
          <w:p w:rsidR="00CA5CD8" w:rsidRDefault="00CA5CD8" w:rsidP="00482190">
            <w:pPr>
              <w:spacing w:after="0"/>
              <w:jc w:val="center"/>
              <w:rPr>
                <w:rFonts w:ascii="Verdana" w:eastAsia="Georgia" w:hAnsi="Verdana" w:cs="Verdana"/>
                <w:sz w:val="20"/>
                <w:szCs w:val="20"/>
                <w:lang w:eastAsia="zh-CN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eastAsia="Georgia" w:hAnsi="Verdana" w:cs="Verdana"/>
                <w:sz w:val="20"/>
                <w:szCs w:val="20"/>
              </w:rPr>
            </w:pPr>
            <w:r>
              <w:rPr>
                <w:rFonts w:ascii="Verdana" w:eastAsia="Georgia" w:hAnsi="Verdana" w:cs="Verdana"/>
                <w:sz w:val="20"/>
                <w:szCs w:val="20"/>
              </w:rPr>
              <w:t xml:space="preserve">одобрен проект от 24.08.2012г., 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eastAsia="Georgia" w:hAnsi="Verdana" w:cs="Verdana"/>
                <w:sz w:val="20"/>
                <w:szCs w:val="20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eastAsia="Georgia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Georgia" w:hAnsi="Verdana" w:cs="Verdana"/>
                <w:sz w:val="20"/>
                <w:szCs w:val="20"/>
              </w:rPr>
              <w:t>разрешение за строеж № 6/05.09.2012г., заповедна книга № 156/02.11.2012г.</w:t>
            </w:r>
          </w:p>
        </w:tc>
        <w:tc>
          <w:tcPr>
            <w:tcW w:w="2694" w:type="dxa"/>
          </w:tcPr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Georgia" w:hAnsi="Verdana" w:cs="Verdana"/>
                <w:sz w:val="20"/>
                <w:szCs w:val="20"/>
              </w:rPr>
              <w:t>„</w:t>
            </w:r>
            <w:proofErr w:type="spellStart"/>
            <w:r>
              <w:rPr>
                <w:rFonts w:ascii="Verdana" w:eastAsia="Georgia" w:hAnsi="Verdana" w:cs="Verdana"/>
                <w:sz w:val="20"/>
                <w:szCs w:val="20"/>
              </w:rPr>
              <w:t>Дарс</w:t>
            </w:r>
            <w:proofErr w:type="spellEnd"/>
            <w:r>
              <w:rPr>
                <w:rFonts w:ascii="Verdana" w:eastAsia="Georgi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Georgia" w:hAnsi="Verdana" w:cs="Verdana"/>
                <w:sz w:val="20"/>
                <w:szCs w:val="20"/>
              </w:rPr>
              <w:t>инвест</w:t>
            </w:r>
            <w:proofErr w:type="spellEnd"/>
            <w:r>
              <w:rPr>
                <w:rFonts w:ascii="Verdana" w:eastAsia="Georgia" w:hAnsi="Verdana" w:cs="Verdana"/>
                <w:sz w:val="20"/>
                <w:szCs w:val="20"/>
              </w:rPr>
              <w:t>” ЕООД („Емона 2000” ЕООД)</w:t>
            </w:r>
          </w:p>
        </w:tc>
        <w:tc>
          <w:tcPr>
            <w:tcW w:w="2835" w:type="dxa"/>
          </w:tcPr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Georgia" w:hAnsi="Verdana" w:cs="Verdana"/>
                <w:sz w:val="20"/>
                <w:szCs w:val="20"/>
              </w:rPr>
              <w:t>„</w:t>
            </w:r>
            <w:proofErr w:type="spellStart"/>
            <w:r>
              <w:rPr>
                <w:rFonts w:ascii="Verdana" w:eastAsia="Georgia" w:hAnsi="Verdana" w:cs="Verdana"/>
                <w:sz w:val="20"/>
                <w:szCs w:val="20"/>
              </w:rPr>
              <w:t>Д</w:t>
            </w:r>
            <w:bookmarkStart w:id="0" w:name="_GoBack"/>
            <w:bookmarkEnd w:id="0"/>
            <w:r>
              <w:rPr>
                <w:rFonts w:ascii="Verdana" w:eastAsia="Georgia" w:hAnsi="Verdana" w:cs="Verdana"/>
                <w:sz w:val="20"/>
                <w:szCs w:val="20"/>
              </w:rPr>
              <w:t>арс</w:t>
            </w:r>
            <w:proofErr w:type="spellEnd"/>
            <w:r>
              <w:rPr>
                <w:rFonts w:ascii="Verdana" w:eastAsia="Georgi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Georgia" w:hAnsi="Verdana" w:cs="Verdana"/>
                <w:sz w:val="20"/>
                <w:szCs w:val="20"/>
              </w:rPr>
              <w:t>инвест</w:t>
            </w:r>
            <w:proofErr w:type="spellEnd"/>
            <w:r>
              <w:rPr>
                <w:rFonts w:ascii="Verdana" w:eastAsia="Georgia" w:hAnsi="Verdana" w:cs="Verdana"/>
                <w:sz w:val="20"/>
                <w:szCs w:val="20"/>
              </w:rPr>
              <w:t>” ЕООД,</w:t>
            </w:r>
          </w:p>
        </w:tc>
      </w:tr>
      <w:tr w:rsidR="00CA5CD8" w:rsidTr="00482190">
        <w:tc>
          <w:tcPr>
            <w:tcW w:w="565" w:type="dxa"/>
          </w:tcPr>
          <w:p w:rsidR="00CA5CD8" w:rsidRDefault="00CA5CD8" w:rsidP="00482190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836" w:type="dxa"/>
          </w:tcPr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ПИ 2745.23.85,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землище на с. Емона, местност „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Кладери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”, община Несебър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„Ваканционен клуб: първи етап – къщи К 1а, К 1в, К 1с, К 2а и К 2в; втори етап – плажен ресторант; СПА-център, къщи К 3а и К 3б; трети етап – рецепция, къща К 5а, къща К 5б, къща К 5с, къща К 6а, къща К 6б, къща К 6с, къща К 7, основен и детски басейн”</w:t>
            </w:r>
          </w:p>
        </w:tc>
        <w:tc>
          <w:tcPr>
            <w:tcW w:w="2126" w:type="dxa"/>
          </w:tcPr>
          <w:p w:rsidR="00CA5CD8" w:rsidRDefault="00CA5CD8" w:rsidP="00482190">
            <w:pPr>
              <w:spacing w:after="0"/>
              <w:jc w:val="center"/>
              <w:rPr>
                <w:rFonts w:ascii="Verdana" w:eastAsia="Georgia" w:hAnsi="Verdana" w:cs="Verdana"/>
                <w:sz w:val="20"/>
                <w:szCs w:val="20"/>
                <w:lang w:eastAsia="zh-CN"/>
              </w:rPr>
            </w:pPr>
            <w:r>
              <w:rPr>
                <w:rFonts w:ascii="Verdana" w:eastAsia="Georgia" w:hAnsi="Verdana" w:cs="Verdana"/>
                <w:sz w:val="20"/>
                <w:szCs w:val="20"/>
                <w:lang w:eastAsia="zh-CN"/>
              </w:rPr>
              <w:t>Община Несебър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одобрени проекти от 04.05.2012г. и 01.02.2012г. (първи етап), 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разрешения за строеж №1/13.03.2012 г. (първи етап) и № 3/07.05.2012 г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94" w:type="dxa"/>
          </w:tcPr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„ЕМОНА 2000” ЕООД,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„ЕМОНА 2000” ЕООД,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ЕИК 131403420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Строител - „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Агрогруп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екзакт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” ООД гр. София, 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Строителен надзор - „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Васстрой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консулт”</w:t>
            </w:r>
          </w:p>
          <w:p w:rsidR="00CA5CD8" w:rsidRDefault="00CA5CD8" w:rsidP="00482190">
            <w:pPr>
              <w:spacing w:after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A5CD8" w:rsidRPr="004A5D4A" w:rsidRDefault="00CA5CD8" w:rsidP="00CA5CD8">
      <w:pPr>
        <w:rPr>
          <w:rFonts w:ascii="Verdana" w:hAnsi="Verdana" w:cs="Verdana"/>
          <w:sz w:val="20"/>
          <w:szCs w:val="20"/>
          <w:lang w:val="en-US"/>
        </w:rPr>
      </w:pPr>
    </w:p>
    <w:p w:rsidR="00CA5CD8" w:rsidRDefault="00CA5CD8" w:rsidP="00CA5CD8">
      <w:pPr>
        <w:rPr>
          <w:rFonts w:ascii="Verdana" w:hAnsi="Verdana" w:cs="Verdana"/>
          <w:sz w:val="20"/>
          <w:szCs w:val="20"/>
          <w:u w:val="single"/>
          <w:lang w:val="en-US"/>
        </w:rPr>
      </w:pPr>
    </w:p>
    <w:p w:rsidR="00CA5CD8" w:rsidRPr="004A5D4A" w:rsidRDefault="00CA5CD8" w:rsidP="00CA5CD8">
      <w:pPr>
        <w:rPr>
          <w:rFonts w:ascii="Verdana" w:hAnsi="Verdana" w:cs="Verdana"/>
          <w:sz w:val="20"/>
          <w:szCs w:val="20"/>
          <w:u w:val="single"/>
          <w:lang w:val="en-US"/>
        </w:rPr>
      </w:pPr>
      <w:r>
        <w:rPr>
          <w:rFonts w:ascii="Verdana" w:hAnsi="Verdana" w:cs="Verdana"/>
          <w:sz w:val="20"/>
          <w:szCs w:val="20"/>
          <w:u w:val="single"/>
        </w:rPr>
        <w:t>Констатирани проблеми, свързани с горните строежи:</w:t>
      </w:r>
    </w:p>
    <w:p w:rsidR="00CA5CD8" w:rsidRDefault="00CA5CD8" w:rsidP="00CA5CD8">
      <w:pPr>
        <w:numPr>
          <w:ilvl w:val="0"/>
          <w:numId w:val="2"/>
        </w:numPr>
        <w:rPr>
          <w:rFonts w:ascii="Verdana" w:eastAsia="Georgia" w:hAnsi="Verdana" w:cs="Verdana"/>
          <w:bCs/>
          <w:sz w:val="20"/>
          <w:szCs w:val="20"/>
        </w:rPr>
      </w:pPr>
      <w:r>
        <w:rPr>
          <w:rFonts w:ascii="Verdana" w:eastAsia="Georgia" w:hAnsi="Verdana" w:cs="Verdana"/>
          <w:bCs/>
          <w:sz w:val="20"/>
          <w:szCs w:val="20"/>
        </w:rPr>
        <w:t xml:space="preserve">Разлика между одобрен проект и фактическо строителство -  </w:t>
      </w:r>
    </w:p>
    <w:p w:rsidR="00CA5CD8" w:rsidRDefault="00CA5CD8" w:rsidP="00CA5CD8">
      <w:pPr>
        <w:rPr>
          <w:rFonts w:ascii="Verdana" w:eastAsia="Georgia" w:hAnsi="Verdana" w:cs="Verdana"/>
          <w:bCs/>
          <w:sz w:val="20"/>
          <w:szCs w:val="20"/>
        </w:rPr>
      </w:pPr>
      <w:r>
        <w:rPr>
          <w:rFonts w:ascii="Verdana" w:eastAsia="Georgia" w:hAnsi="Verdana" w:cs="Verdana"/>
          <w:bCs/>
          <w:sz w:val="20"/>
          <w:szCs w:val="20"/>
        </w:rPr>
        <w:t xml:space="preserve">По този въпрос имаше заведени 5 дела от РО НСК и РИОСВ Бургас.  Най-общо, всичките дела са загубени с аргументите: А. ‘според вещите лица няма (или има, но малко) нарушение на допустимите норми на застрояване (като цяло, не на конкретните параметри заложени в </w:t>
      </w:r>
      <w:proofErr w:type="spellStart"/>
      <w:r>
        <w:rPr>
          <w:rFonts w:ascii="Verdana" w:eastAsia="Georgia" w:hAnsi="Verdana" w:cs="Verdana"/>
          <w:bCs/>
          <w:sz w:val="20"/>
          <w:szCs w:val="20"/>
        </w:rPr>
        <w:t>ОВОСа</w:t>
      </w:r>
      <w:proofErr w:type="spellEnd"/>
      <w:r>
        <w:rPr>
          <w:rFonts w:ascii="Verdana" w:eastAsia="Georgia" w:hAnsi="Verdana" w:cs="Verdana"/>
          <w:bCs/>
          <w:sz w:val="20"/>
          <w:szCs w:val="20"/>
        </w:rPr>
        <w:t xml:space="preserve">)’  и  Б. ‘според вещите лица, въпросните строежи са от 4, 5, или 6 строителна категория и като такива не подлежат на контрол от ДНСК”. </w:t>
      </w:r>
    </w:p>
    <w:p w:rsidR="00CA5CD8" w:rsidRDefault="00CA5CD8" w:rsidP="00CA5CD8">
      <w:pPr>
        <w:rPr>
          <w:rFonts w:ascii="Verdana" w:eastAsia="Georgia" w:hAnsi="Verdana" w:cs="Verdana"/>
          <w:bCs/>
          <w:sz w:val="20"/>
          <w:szCs w:val="20"/>
        </w:rPr>
      </w:pPr>
      <w:r>
        <w:rPr>
          <w:rFonts w:ascii="Verdana" w:eastAsia="Georgia" w:hAnsi="Verdana" w:cs="Verdana"/>
          <w:bCs/>
          <w:sz w:val="20"/>
          <w:szCs w:val="20"/>
        </w:rPr>
        <w:t xml:space="preserve">Същност на проблема -  в съда е констатирано грубо </w:t>
      </w:r>
      <w:proofErr w:type="spellStart"/>
      <w:r>
        <w:rPr>
          <w:rFonts w:ascii="Verdana" w:eastAsia="Georgia" w:hAnsi="Verdana" w:cs="Verdana"/>
          <w:bCs/>
          <w:sz w:val="20"/>
          <w:szCs w:val="20"/>
        </w:rPr>
        <w:t>нарушване</w:t>
      </w:r>
      <w:proofErr w:type="spellEnd"/>
      <w:r>
        <w:rPr>
          <w:rFonts w:ascii="Verdana" w:eastAsia="Georgia" w:hAnsi="Verdana" w:cs="Verdana"/>
          <w:bCs/>
          <w:sz w:val="20"/>
          <w:szCs w:val="20"/>
        </w:rPr>
        <w:t xml:space="preserve"> на разрешителните за строеж.  Санкциите на държавните органи са отменени, в </w:t>
      </w:r>
      <w:proofErr w:type="spellStart"/>
      <w:r>
        <w:rPr>
          <w:rFonts w:ascii="Verdana" w:eastAsia="Georgia" w:hAnsi="Verdana" w:cs="Verdana"/>
          <w:bCs/>
          <w:sz w:val="20"/>
          <w:szCs w:val="20"/>
        </w:rPr>
        <w:t>съшото</w:t>
      </w:r>
      <w:proofErr w:type="spellEnd"/>
      <w:r>
        <w:rPr>
          <w:rFonts w:ascii="Verdana" w:eastAsia="Georgia" w:hAnsi="Verdana" w:cs="Verdana"/>
          <w:bCs/>
          <w:sz w:val="20"/>
          <w:szCs w:val="20"/>
        </w:rPr>
        <w:t xml:space="preserve"> време не ни е </w:t>
      </w:r>
      <w:proofErr w:type="spellStart"/>
      <w:r>
        <w:rPr>
          <w:rFonts w:ascii="Verdana" w:eastAsia="Georgia" w:hAnsi="Verdana" w:cs="Verdana"/>
          <w:bCs/>
          <w:sz w:val="20"/>
          <w:szCs w:val="20"/>
        </w:rPr>
        <w:t>изествно</w:t>
      </w:r>
      <w:proofErr w:type="spellEnd"/>
      <w:r>
        <w:rPr>
          <w:rFonts w:ascii="Verdana" w:eastAsia="Georgia" w:hAnsi="Verdana" w:cs="Verdana"/>
          <w:bCs/>
          <w:sz w:val="20"/>
          <w:szCs w:val="20"/>
        </w:rPr>
        <w:t xml:space="preserve"> община Несебър да е налагала каквито и да са санкции на инвеститорите за неспазването на разрешителните за строеж и заложените в тях параметри.  </w:t>
      </w:r>
    </w:p>
    <w:p w:rsidR="00CA5CD8" w:rsidRDefault="00CA5CD8" w:rsidP="00CA5CD8">
      <w:pPr>
        <w:rPr>
          <w:rFonts w:ascii="Verdana" w:eastAsia="Georgia" w:hAnsi="Verdana" w:cs="Verdana"/>
          <w:bCs/>
          <w:sz w:val="20"/>
          <w:szCs w:val="20"/>
        </w:rPr>
      </w:pPr>
      <w:r>
        <w:rPr>
          <w:rFonts w:ascii="Verdana" w:eastAsia="Georgia" w:hAnsi="Verdana" w:cs="Verdana"/>
          <w:bCs/>
          <w:sz w:val="20"/>
          <w:szCs w:val="20"/>
        </w:rPr>
        <w:t>Решение - необходима е спешна законодателна промяна, която да дава право на ДНСК да спира строежи 4, 5, и 6-та категория, в общините по Черноморското крайбрежие и тези граничещи с Национални паркове, когато са налице нарушения на закона и/или на издадените разрешителни.</w:t>
      </w:r>
    </w:p>
    <w:p w:rsidR="00CA5CD8" w:rsidRDefault="00CA5CD8" w:rsidP="00CA5CD8">
      <w:pPr>
        <w:rPr>
          <w:rFonts w:ascii="Verdana" w:eastAsia="Georgia" w:hAnsi="Verdana" w:cs="Verdana"/>
          <w:bCs/>
          <w:sz w:val="20"/>
          <w:szCs w:val="20"/>
        </w:rPr>
      </w:pPr>
    </w:p>
    <w:p w:rsidR="00CA5CD8" w:rsidRDefault="00CA5CD8" w:rsidP="00CA5CD8">
      <w:pPr>
        <w:numPr>
          <w:ilvl w:val="0"/>
          <w:numId w:val="2"/>
        </w:numPr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Georgia" w:hAnsi="Verdana" w:cs="Verdana"/>
          <w:bCs/>
          <w:sz w:val="20"/>
          <w:szCs w:val="20"/>
        </w:rPr>
        <w:t>Потенциална липса на достатъчно водоснабдяване за построените обекти, съгласно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изискванията </w:t>
      </w:r>
      <w:r>
        <w:rPr>
          <w:rFonts w:ascii="Verdana" w:eastAsia="Arial" w:hAnsi="Verdana" w:cs="Verdana"/>
          <w:kern w:val="1"/>
          <w:sz w:val="20"/>
          <w:szCs w:val="20"/>
        </w:rPr>
        <w:t>на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</w:t>
      </w:r>
      <w:r>
        <w:rPr>
          <w:rFonts w:ascii="Verdana" w:eastAsia="Arial" w:hAnsi="Verdana" w:cs="Verdana"/>
          <w:b/>
          <w:bCs/>
          <w:kern w:val="1"/>
          <w:sz w:val="20"/>
          <w:szCs w:val="20"/>
        </w:rPr>
        <w:t>“</w:t>
      </w:r>
      <w:r>
        <w:rPr>
          <w:rFonts w:ascii="Verdana" w:eastAsia="Arial" w:hAnsi="Verdana" w:cs="Verdana"/>
          <w:b/>
          <w:bCs/>
          <w:kern w:val="1"/>
          <w:sz w:val="20"/>
          <w:szCs w:val="20"/>
          <w:lang w:val="zh-CN"/>
        </w:rPr>
        <w:t>НАРЕДБА № 2 от 22.03.2005 г. за проектиране, изграждане и експлоатация на водоснабдителни системи</w:t>
      </w:r>
      <w:r>
        <w:rPr>
          <w:rFonts w:ascii="Verdana" w:eastAsia="Arial" w:hAnsi="Verdana" w:cs="Verdana"/>
          <w:b/>
          <w:bCs/>
          <w:kern w:val="1"/>
          <w:sz w:val="20"/>
          <w:szCs w:val="20"/>
        </w:rPr>
        <w:t>”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, в частност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, не успяхме да </w:t>
      </w:r>
      <w:proofErr w:type="spellStart"/>
      <w:r>
        <w:rPr>
          <w:rFonts w:ascii="Verdana" w:eastAsia="Arial" w:hAnsi="Verdana" w:cs="Verdana"/>
          <w:kern w:val="1"/>
          <w:sz w:val="20"/>
          <w:szCs w:val="20"/>
        </w:rPr>
        <w:t>изясниме</w:t>
      </w:r>
      <w:proofErr w:type="spellEnd"/>
      <w:r>
        <w:rPr>
          <w:rFonts w:ascii="Verdana" w:eastAsia="Arial" w:hAnsi="Verdana" w:cs="Verdana"/>
          <w:kern w:val="1"/>
          <w:sz w:val="20"/>
          <w:szCs w:val="20"/>
        </w:rPr>
        <w:t>:</w:t>
      </w:r>
    </w:p>
    <w:p w:rsidR="00CA5CD8" w:rsidRDefault="00CA5CD8" w:rsidP="00CA5CD8">
      <w:pPr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2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.1.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 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Дали са п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роучени детайлно количеството и качеството на водите от определените водоизточници за проекта и получаване на съответните разрешителни за водовземане и за ползване на воден обект в съответствие с изискванията на Закона за водите (ЗВ), вменено от чл. 8 на Наредбата;</w:t>
      </w:r>
    </w:p>
    <w:p w:rsidR="00CA5CD8" w:rsidRDefault="00CA5CD8" w:rsidP="00CA5CD8">
      <w:pPr>
        <w:widowControl w:val="0"/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2.</w:t>
      </w:r>
      <w:r>
        <w:rPr>
          <w:rFonts w:ascii="Verdana" w:eastAsia="Arial" w:hAnsi="Verdana" w:cs="Verdana"/>
          <w:kern w:val="1"/>
          <w:sz w:val="20"/>
          <w:szCs w:val="20"/>
        </w:rPr>
        <w:t>2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В случай, че районът попада в земетръсен район, с коефициент на сеизмичност Кс &gt; 0,15, дали е осигурен втори водоизточник, съгласно чл.11 на Наредбата;</w:t>
      </w:r>
    </w:p>
    <w:p w:rsidR="00CA5CD8" w:rsidRDefault="00CA5CD8" w:rsidP="00CA5CD8">
      <w:pPr>
        <w:widowControl w:val="0"/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>2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.3.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Дали водоснабдяването към обекта е съобразено с нормите за необходимо средноденощно потребление на вода съгласно чл.17 и сл. от Наредбата.</w:t>
      </w:r>
    </w:p>
    <w:p w:rsidR="00CA5CD8" w:rsidRDefault="00CA5CD8" w:rsidP="00CA5CD8">
      <w:pPr>
        <w:widowControl w:val="0"/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 xml:space="preserve">Същност на проблема -  в района няма изградена водопроводна мрежа.  Предвидено е въпросните обекти да се захранват от местен </w:t>
      </w:r>
      <w:proofErr w:type="spellStart"/>
      <w:r>
        <w:rPr>
          <w:rFonts w:ascii="Verdana" w:eastAsia="Arial" w:hAnsi="Verdana" w:cs="Verdana"/>
          <w:kern w:val="1"/>
          <w:sz w:val="20"/>
          <w:szCs w:val="20"/>
        </w:rPr>
        <w:t>водоизтоник</w:t>
      </w:r>
      <w:proofErr w:type="spellEnd"/>
      <w:r>
        <w:rPr>
          <w:rFonts w:ascii="Verdana" w:eastAsia="Arial" w:hAnsi="Verdana" w:cs="Verdana"/>
          <w:kern w:val="1"/>
          <w:sz w:val="20"/>
          <w:szCs w:val="20"/>
        </w:rPr>
        <w:t>.  А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ко се приемат стандартните норми от около 200л. вода на денонощие на човек, по наши калкулации излиза, че само за питейни и битови нужди на селище с 180 гости и над 250 посетители са необходими около 20 000 куб.м. вода годишно.  В същото време в Доклада по ОВОС, за цитирания строеж, е посочено, че водоизточникът има дебит от 6523 куб.м. годишно.  Ако това е вярно и обектът не е съобразен с нормите за потребление, по каква причина и на какво основание е допуснато издаването на разрешително за него?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</w:t>
      </w:r>
    </w:p>
    <w:p w:rsidR="00CA5CD8" w:rsidRPr="004A5D4A" w:rsidRDefault="00CA5CD8" w:rsidP="00CA5CD8">
      <w:pPr>
        <w:widowControl w:val="0"/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en-US"/>
        </w:rPr>
      </w:pPr>
      <w:r>
        <w:rPr>
          <w:rFonts w:ascii="Verdana" w:eastAsia="Arial" w:hAnsi="Verdana" w:cs="Verdana"/>
          <w:kern w:val="1"/>
          <w:sz w:val="20"/>
          <w:szCs w:val="20"/>
        </w:rPr>
        <w:t>Решение - санкции за общината и за инвеститора, съгласно Наредбата и ЗУТ</w:t>
      </w:r>
    </w:p>
    <w:p w:rsidR="00CA5CD8" w:rsidRDefault="00CA5CD8" w:rsidP="00CA5CD8">
      <w:pPr>
        <w:widowControl w:val="0"/>
        <w:tabs>
          <w:tab w:val="clear" w:pos="709"/>
          <w:tab w:val="left" w:pos="720"/>
        </w:tabs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 xml:space="preserve">3.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С оглед изискванията по </w:t>
      </w:r>
      <w:r>
        <w:rPr>
          <w:rFonts w:ascii="Verdana" w:eastAsia="Arial" w:hAnsi="Verdana" w:cs="Verdana"/>
          <w:b/>
          <w:bCs/>
          <w:kern w:val="1"/>
          <w:sz w:val="20"/>
          <w:szCs w:val="20"/>
          <w:lang w:val="zh-CN"/>
        </w:rPr>
        <w:t>НАРЕДБА № 4 от 17 юни 2005 г., за проектиране, изграждане и експлоатация на сградни водопроводни и канализационни инсталации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,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не успяхме да изясним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:</w:t>
      </w:r>
    </w:p>
    <w:p w:rsidR="00CA5CD8" w:rsidRDefault="00CA5CD8" w:rsidP="00CA5CD8">
      <w:pPr>
        <w:widowControl w:val="0"/>
        <w:tabs>
          <w:tab w:val="clear" w:pos="709"/>
          <w:tab w:val="left" w:pos="0"/>
        </w:tabs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3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.1.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Отговарят ли обхватът, съдържанието на прединвестиционното проучване, заданието за проектиране и инвестиционния проект на водоснабдителната система на проекта на изискванията на Наредба № 4</w:t>
      </w:r>
      <w:r>
        <w:rPr>
          <w:rFonts w:ascii="Verdana" w:eastAsia="Arial" w:hAnsi="Verdana" w:cs="Verdana"/>
          <w:kern w:val="1"/>
          <w:sz w:val="20"/>
          <w:szCs w:val="20"/>
        </w:rPr>
        <w:t>, в частност - п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осочено ли е в проекта оразмерителното максимално секундно водно количество за питейно-битови нужди съгласно приложения № 5, 6 и 7 на Наредбата и как са спазени тези изисквания при наличния дебит на водоизточника; </w:t>
      </w:r>
    </w:p>
    <w:p w:rsidR="00CA5CD8" w:rsidRDefault="00CA5CD8" w:rsidP="00CA5CD8">
      <w:pPr>
        <w:widowControl w:val="0"/>
        <w:tabs>
          <w:tab w:val="clear" w:pos="709"/>
          <w:tab w:val="left" w:pos="0"/>
        </w:tabs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  <w:lang w:val="zh-CN"/>
        </w:rPr>
        <w:t>3.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2  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Оразмерени ли са черпателните резервоари и хидрофори с методиката посочена в чл.84 и сл. на Наредбата и доколко са адекватни мерките за  предотватяване застоя на водата при черпателните резервоари, съгласно чл.91 от Наредбата;</w:t>
      </w:r>
    </w:p>
    <w:p w:rsidR="00CA5CD8" w:rsidRDefault="00CA5CD8" w:rsidP="00CA5CD8">
      <w:pPr>
        <w:widowControl w:val="0"/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3.3 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Отговаря ли отвеждането на отпадните води на изискванията на Наредбата, в частно</w:t>
      </w:r>
      <w:proofErr w:type="spellStart"/>
      <w:r>
        <w:rPr>
          <w:rFonts w:ascii="Verdana" w:eastAsia="Arial" w:hAnsi="Verdana" w:cs="Verdana"/>
          <w:kern w:val="1"/>
          <w:sz w:val="20"/>
          <w:szCs w:val="20"/>
        </w:rPr>
        <w:t>ст</w:t>
      </w:r>
      <w:proofErr w:type="spellEnd"/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по отношение на оразмерителните денонощни и часови количества на битовите отпадъчни води (чл. 164 и сл.) и капацитета на предвидената местна пречиствателна станция; </w:t>
      </w:r>
    </w:p>
    <w:p w:rsidR="00CA5CD8" w:rsidRDefault="00CA5CD8" w:rsidP="00CA5CD8">
      <w:pPr>
        <w:widowControl w:val="0"/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en-US"/>
        </w:rPr>
      </w:pPr>
      <w:r>
        <w:rPr>
          <w:rFonts w:ascii="Verdana" w:eastAsia="Arial" w:hAnsi="Verdana" w:cs="Verdana"/>
          <w:kern w:val="1"/>
          <w:sz w:val="20"/>
          <w:szCs w:val="20"/>
        </w:rPr>
        <w:t>3.4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Къде и как са заустени отпадните води, отговарят ли предвидените мерки на изискванията на закона?</w:t>
      </w:r>
    </w:p>
    <w:p w:rsidR="00CA5CD8" w:rsidRPr="004A5D4A" w:rsidRDefault="00CA5CD8" w:rsidP="00CA5CD8">
      <w:pPr>
        <w:widowControl w:val="0"/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en-US"/>
        </w:rPr>
      </w:pPr>
    </w:p>
    <w:p w:rsidR="00CA5CD8" w:rsidRDefault="00CA5CD8" w:rsidP="00CA5CD8">
      <w:pPr>
        <w:widowControl w:val="0"/>
        <w:tabs>
          <w:tab w:val="clear" w:pos="709"/>
          <w:tab w:val="left" w:pos="720"/>
        </w:tabs>
        <w:autoSpaceDE w:val="0"/>
        <w:autoSpaceDN w:val="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4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Доколко са изпълнени изискванията на </w:t>
      </w:r>
      <w:r>
        <w:rPr>
          <w:rFonts w:ascii="Verdana" w:eastAsia="Arial" w:hAnsi="Verdana" w:cs="Verdana"/>
          <w:b/>
          <w:bCs/>
          <w:kern w:val="1"/>
          <w:sz w:val="20"/>
          <w:szCs w:val="20"/>
          <w:lang w:val="zh-CN"/>
        </w:rPr>
        <w:t>НАРЕДБА No. Iз-1971 от 29.10.2009г. за строително-технически правила и норми за осигуряване на бeзопасност при пожар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,  </w:t>
      </w:r>
      <w:r>
        <w:rPr>
          <w:rFonts w:ascii="Verdana" w:eastAsia="Arial" w:hAnsi="Verdana" w:cs="Verdana"/>
          <w:kern w:val="1"/>
          <w:sz w:val="20"/>
          <w:szCs w:val="20"/>
        </w:rPr>
        <w:t>не успяхме да изясним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:</w:t>
      </w:r>
    </w:p>
    <w:p w:rsidR="00CA5CD8" w:rsidRDefault="00CA5CD8" w:rsidP="00CA5CD8">
      <w:pPr>
        <w:widowControl w:val="0"/>
        <w:tabs>
          <w:tab w:val="clear" w:pos="709"/>
          <w:tab w:val="left" w:pos="0"/>
        </w:tabs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4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.1.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С оглед посоченото за водоизточника на обекта, по-горе, спазени ли са изискванията на от чл.165 на Наредбата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за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необходимите минимални  водни количества за пожарогасене; </w:t>
      </w:r>
    </w:p>
    <w:p w:rsidR="00CA5CD8" w:rsidRDefault="00CA5CD8" w:rsidP="00CA5CD8">
      <w:pPr>
        <w:widowControl w:val="0"/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>4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.2.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Отговарят ли разрешителните на обекта на изискванията на чл.171 и следващите от Наредбата за минимален моментен разход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н</w:t>
      </w:r>
      <w:r>
        <w:rPr>
          <w:rFonts w:ascii="Verdana" w:eastAsia="Arial" w:hAnsi="Verdana" w:cs="Verdana"/>
          <w:kern w:val="1"/>
          <w:sz w:val="20"/>
          <w:szCs w:val="20"/>
        </w:rPr>
        <w:t>а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вода за пожарогасене, от 5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l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it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/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s, съгласно табл. 15 на същата и ако не как и при какви условия е издадено разрешителното за строежа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>?</w:t>
      </w:r>
    </w:p>
    <w:p w:rsidR="00CA5CD8" w:rsidRDefault="00CA5CD8" w:rsidP="00CA5CD8">
      <w:pPr>
        <w:widowControl w:val="0"/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en-US"/>
        </w:rPr>
      </w:pP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>4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.3.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 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Отговаря ли количеството достъпна вода от водоизточника, съответно проектирания черпителен резервоар, на минималните 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обеми за пожарогасене, съгласно чл.180 и сл. На Наредбата; </w:t>
      </w:r>
    </w:p>
    <w:p w:rsidR="00CA5CD8" w:rsidRPr="004A5D4A" w:rsidRDefault="00CA5CD8" w:rsidP="00CA5CD8">
      <w:pPr>
        <w:widowControl w:val="0"/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en-US"/>
        </w:rPr>
      </w:pPr>
    </w:p>
    <w:p w:rsidR="00CA5CD8" w:rsidRDefault="00CA5CD8" w:rsidP="00CA5CD8">
      <w:pPr>
        <w:widowControl w:val="0"/>
        <w:tabs>
          <w:tab w:val="clear" w:pos="709"/>
          <w:tab w:val="left" w:pos="720"/>
        </w:tabs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  <w:lang w:val="en-US"/>
        </w:rPr>
        <w:t>5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 </w:t>
      </w:r>
      <w:r>
        <w:rPr>
          <w:rFonts w:ascii="Verdana" w:eastAsia="Arial" w:hAnsi="Verdana" w:cs="Verdana"/>
          <w:kern w:val="1"/>
          <w:sz w:val="20"/>
          <w:szCs w:val="20"/>
        </w:rPr>
        <w:t>С оглед предписанията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, пос</w:t>
      </w:r>
      <w:proofErr w:type="spellStart"/>
      <w:r>
        <w:rPr>
          <w:rFonts w:ascii="Verdana" w:eastAsia="Arial" w:hAnsi="Verdana" w:cs="Verdana"/>
          <w:kern w:val="1"/>
          <w:sz w:val="20"/>
          <w:szCs w:val="20"/>
        </w:rPr>
        <w:t>очени</w:t>
      </w:r>
      <w:proofErr w:type="spellEnd"/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в Решението за ОВОС на обекта, </w:t>
      </w:r>
      <w:r>
        <w:rPr>
          <w:rFonts w:ascii="Verdana" w:eastAsia="Arial" w:hAnsi="Verdana" w:cs="Verdana"/>
          <w:kern w:val="1"/>
          <w:sz w:val="20"/>
          <w:szCs w:val="20"/>
        </w:rPr>
        <w:t>не успяхме да изясним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:</w:t>
      </w:r>
    </w:p>
    <w:p w:rsidR="00CA5CD8" w:rsidRDefault="00CA5CD8" w:rsidP="00CA5CD8">
      <w:pPr>
        <w:widowControl w:val="0"/>
        <w:tabs>
          <w:tab w:val="clear" w:pos="709"/>
          <w:tab w:val="left" w:pos="0"/>
        </w:tabs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5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.1.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По т.2  - извършв</w:t>
      </w:r>
      <w:r>
        <w:rPr>
          <w:rFonts w:ascii="Verdana" w:eastAsia="Arial" w:hAnsi="Verdana" w:cs="Verdana"/>
          <w:kern w:val="1"/>
          <w:sz w:val="20"/>
          <w:szCs w:val="20"/>
        </w:rPr>
        <w:t>а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н ли е анализ на годността на питейната вода от водоизточника</w:t>
      </w:r>
      <w:r>
        <w:rPr>
          <w:rFonts w:ascii="Verdana" w:eastAsia="Arial" w:hAnsi="Verdana" w:cs="Verdana"/>
          <w:kern w:val="1"/>
          <w:sz w:val="20"/>
          <w:szCs w:val="20"/>
        </w:rPr>
        <w:t>?</w:t>
      </w:r>
    </w:p>
    <w:p w:rsidR="00CA5CD8" w:rsidRDefault="00CA5CD8" w:rsidP="00CA5CD8">
      <w:pPr>
        <w:widowControl w:val="0"/>
        <w:tabs>
          <w:tab w:val="clear" w:pos="709"/>
          <w:tab w:val="left" w:pos="0"/>
        </w:tabs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5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.2.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 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По т.3 -  вписан ли е водоизточника в регистър, съгласно Закона за здравето</w:t>
      </w:r>
      <w:r>
        <w:rPr>
          <w:rFonts w:ascii="Verdana" w:eastAsia="Arial" w:hAnsi="Verdana" w:cs="Verdana"/>
          <w:kern w:val="1"/>
          <w:sz w:val="20"/>
          <w:szCs w:val="20"/>
        </w:rPr>
        <w:t>?</w:t>
      </w:r>
    </w:p>
    <w:p w:rsidR="00CA5CD8" w:rsidRDefault="00CA5CD8" w:rsidP="00CA5CD8">
      <w:pPr>
        <w:widowControl w:val="0"/>
        <w:tabs>
          <w:tab w:val="clear" w:pos="709"/>
          <w:tab w:val="left" w:pos="0"/>
        </w:tabs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5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.3.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По т.4 – изградена</w:t>
      </w:r>
      <w:r>
        <w:rPr>
          <w:rFonts w:ascii="Verdana" w:eastAsia="Arial" w:hAnsi="Verdana" w:cs="Verdana"/>
          <w:kern w:val="1"/>
          <w:sz w:val="20"/>
          <w:szCs w:val="20"/>
        </w:rPr>
        <w:t>та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пречиствателна станция, съотвества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ли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на изискванията на НАРЕДБА № 2  и НАРЕДБА № 4, по-горе</w:t>
      </w:r>
      <w:r>
        <w:rPr>
          <w:rFonts w:ascii="Verdana" w:eastAsia="Arial" w:hAnsi="Verdana" w:cs="Verdana"/>
          <w:kern w:val="1"/>
          <w:sz w:val="20"/>
          <w:szCs w:val="20"/>
        </w:rPr>
        <w:t>?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 </w:t>
      </w:r>
    </w:p>
    <w:p w:rsidR="00CA5CD8" w:rsidRDefault="00CA5CD8" w:rsidP="00CA5CD8">
      <w:pPr>
        <w:widowControl w:val="0"/>
        <w:tabs>
          <w:tab w:val="clear" w:pos="709"/>
          <w:tab w:val="left" w:pos="0"/>
        </w:tabs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5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.4.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По т. 5 – дали обектът следва точно изискванията по чл.46, ал.1, т.3, б.'А' от Закона за водите</w:t>
      </w:r>
      <w:r>
        <w:rPr>
          <w:rFonts w:ascii="Verdana" w:eastAsia="Arial" w:hAnsi="Verdana" w:cs="Verdana"/>
          <w:kern w:val="1"/>
          <w:sz w:val="20"/>
          <w:szCs w:val="20"/>
        </w:rPr>
        <w:t>?</w:t>
      </w:r>
    </w:p>
    <w:p w:rsidR="00CA5CD8" w:rsidRDefault="00CA5CD8" w:rsidP="00CA5CD8">
      <w:pPr>
        <w:widowControl w:val="0"/>
        <w:tabs>
          <w:tab w:val="clear" w:pos="709"/>
          <w:tab w:val="left" w:pos="0"/>
        </w:tabs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5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.5.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По т. 6 – изпълнено ли е изискването за издаване на разрешително по чл.46 'А' от Закона за водите, преди одобряването на проекта;</w:t>
      </w:r>
    </w:p>
    <w:p w:rsidR="00CA5CD8" w:rsidRDefault="00CA5CD8" w:rsidP="00CA5CD8">
      <w:pPr>
        <w:widowControl w:val="0"/>
        <w:tabs>
          <w:tab w:val="clear" w:pos="709"/>
          <w:tab w:val="left" w:pos="0"/>
        </w:tabs>
        <w:autoSpaceDE w:val="0"/>
        <w:autoSpaceDN w:val="0"/>
        <w:spacing w:before="120"/>
        <w:jc w:val="both"/>
        <w:rPr>
          <w:rFonts w:ascii="Verdana" w:eastAsia="Arial" w:hAnsi="Verdana" w:cs="Verdana"/>
          <w:kern w:val="1"/>
          <w:sz w:val="20"/>
          <w:szCs w:val="20"/>
          <w:lang w:val="zh-CN"/>
        </w:rPr>
      </w:pPr>
      <w:r>
        <w:rPr>
          <w:rFonts w:ascii="Verdana" w:eastAsia="Arial" w:hAnsi="Verdana" w:cs="Verdana"/>
          <w:kern w:val="1"/>
          <w:sz w:val="20"/>
          <w:szCs w:val="20"/>
        </w:rPr>
        <w:t>5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.6.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По т.7 – съобразен ли е ПУП-а за проекта, като параметри, с изискванията на Наредба No.7 за правилата и нормативите на отделните видове територии; и</w:t>
      </w:r>
    </w:p>
    <w:p w:rsidR="00CA5CD8" w:rsidRDefault="00CA5CD8" w:rsidP="00CA5CD8">
      <w:pPr>
        <w:widowControl w:val="0"/>
        <w:autoSpaceDE w:val="0"/>
        <w:autoSpaceDN w:val="0"/>
        <w:spacing w:before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Arial" w:hAnsi="Verdana" w:cs="Verdana"/>
          <w:kern w:val="1"/>
          <w:sz w:val="20"/>
          <w:szCs w:val="20"/>
        </w:rPr>
        <w:t>5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.7.</w:t>
      </w:r>
      <w:r>
        <w:rPr>
          <w:rFonts w:ascii="Verdana" w:eastAsia="Arial" w:hAnsi="Verdana" w:cs="Verdana"/>
          <w:kern w:val="1"/>
          <w:sz w:val="20"/>
          <w:szCs w:val="20"/>
          <w:lang w:val="en-US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По т.19 – спазени ли са правилата за противопожарна безопасност при разработването на плана и при издаването на разрешително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 xml:space="preserve">за </w:t>
      </w:r>
      <w:r>
        <w:rPr>
          <w:rFonts w:ascii="Verdana" w:eastAsia="Arial" w:hAnsi="Verdana" w:cs="Verdana"/>
          <w:kern w:val="1"/>
          <w:sz w:val="20"/>
          <w:szCs w:val="20"/>
        </w:rPr>
        <w:t xml:space="preserve"> </w:t>
      </w:r>
      <w:r>
        <w:rPr>
          <w:rFonts w:ascii="Verdana" w:eastAsia="Arial" w:hAnsi="Verdana" w:cs="Verdana"/>
          <w:kern w:val="1"/>
          <w:sz w:val="20"/>
          <w:szCs w:val="20"/>
          <w:lang w:val="zh-CN"/>
        </w:rPr>
        <w:t>строежа</w:t>
      </w:r>
    </w:p>
    <w:p w:rsidR="00CA5CD8" w:rsidRDefault="00CA5CD8" w:rsidP="00CA5CD8">
      <w:pPr>
        <w:tabs>
          <w:tab w:val="clear" w:pos="709"/>
        </w:tabs>
        <w:spacing w:line="276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Приложение 3</w:t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Молим да бъде извършена проверка на законността на извършеното строителство в рамките на природна забележителност „ПЯСЪЧНИ ДЮНИ - МЕСТНОСТ БАБАТА-СЛЪНЧЕВ БРЯГ“; Местоположение съгласно регистър на защитените територии: Област: Бургас, Община: Несебър, Населено място: гр. Несебър</w:t>
      </w:r>
    </w:p>
    <w:p w:rsidR="00CA5CD8" w:rsidRDefault="00CA5CD8" w:rsidP="00CA5CD8">
      <w:pPr>
        <w:spacing w:after="120" w:line="360" w:lineRule="auto"/>
        <w:rPr>
          <w:rFonts w:ascii="Verdana" w:hAnsi="Verdana" w:cs="Verdana"/>
          <w:sz w:val="20"/>
          <w:szCs w:val="20"/>
        </w:rPr>
      </w:pPr>
    </w:p>
    <w:p w:rsidR="00CA5CD8" w:rsidRPr="004A5D4A" w:rsidRDefault="00CA5CD8" w:rsidP="00CA5CD8"/>
    <w:p w:rsidR="00CA5CD8" w:rsidRDefault="00CA5CD8" w:rsidP="00CA5CD8">
      <w:pPr>
        <w:rPr>
          <w:lang w:val="en-US"/>
        </w:rPr>
      </w:pPr>
    </w:p>
    <w:p w:rsidR="006265B6" w:rsidRPr="00CA5CD8" w:rsidRDefault="006265B6" w:rsidP="00CA5CD8"/>
    <w:sectPr w:rsidR="006265B6" w:rsidRPr="00CA5CD8" w:rsidSect="00CA5CD8"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B8" w:rsidRDefault="00F713B8">
      <w:pPr>
        <w:spacing w:after="0" w:line="240" w:lineRule="auto"/>
      </w:pPr>
      <w:r>
        <w:separator/>
      </w:r>
    </w:p>
  </w:endnote>
  <w:endnote w:type="continuationSeparator" w:id="0">
    <w:p w:rsidR="00F713B8" w:rsidRDefault="00F7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default"/>
    <w:sig w:usb0="00000000" w:usb1="D200FDFF" w:usb2="0A246029" w:usb3="00000000" w:csb0="600001FF" w:csb1="DFFF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D8" w:rsidRDefault="00CA5CD8" w:rsidP="00752B81">
    <w:pPr>
      <w:pStyle w:val="Footer"/>
      <w:ind w:left="-127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B6" w:rsidRDefault="006265B6" w:rsidP="00752B81">
    <w:pPr>
      <w:pStyle w:val="Footer"/>
      <w:ind w:left="-127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B8" w:rsidRDefault="00F713B8">
      <w:pPr>
        <w:spacing w:after="0" w:line="240" w:lineRule="auto"/>
      </w:pPr>
      <w:r>
        <w:separator/>
      </w:r>
    </w:p>
  </w:footnote>
  <w:footnote w:type="continuationSeparator" w:id="0">
    <w:p w:rsidR="00F713B8" w:rsidRDefault="00F7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D8" w:rsidRDefault="00CA5CD8" w:rsidP="00752B81">
    <w:pPr>
      <w:pStyle w:val="Header"/>
      <w:ind w:left="-1134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5B6" w:rsidRDefault="006265B6" w:rsidP="00752B81">
    <w:pPr>
      <w:pStyle w:val="Header"/>
      <w:ind w:left="-113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65AF"/>
    <w:multiLevelType w:val="singleLevel"/>
    <w:tmpl w:val="55AF65AF"/>
    <w:lvl w:ilvl="0">
      <w:start w:val="1"/>
      <w:numFmt w:val="decimal"/>
      <w:suff w:val="space"/>
      <w:lvlText w:val="%1."/>
      <w:lvlJc w:val="left"/>
    </w:lvl>
  </w:abstractNum>
  <w:abstractNum w:abstractNumId="1">
    <w:nsid w:val="6F5277AD"/>
    <w:multiLevelType w:val="multilevel"/>
    <w:tmpl w:val="6F5277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rawingGridHorizontalSpacing w:val="0"/>
  <w:characterSpacingControl w:val="doNotCompress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B6"/>
    <w:rsid w:val="0019469E"/>
    <w:rsid w:val="00380436"/>
    <w:rsid w:val="006265B6"/>
    <w:rsid w:val="00752B81"/>
    <w:rsid w:val="0097543B"/>
    <w:rsid w:val="00A43FA1"/>
    <w:rsid w:val="00CA5CD8"/>
    <w:rsid w:val="00F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sz w:val="22"/>
      <w:szCs w:val="22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tabs>
        <w:tab w:val="clear" w:pos="709"/>
      </w:tabs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4536"/>
        <w:tab w:val="right" w:pos="9072"/>
      </w:tabs>
      <w:spacing w:after="0" w:line="240" w:lineRule="auto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lear" w:pos="709"/>
        <w:tab w:val="center" w:pos="4536"/>
        <w:tab w:val="right" w:pos="9072"/>
      </w:tabs>
      <w:spacing w:after="0" w:line="240" w:lineRule="auto"/>
    </w:pPr>
    <w:rPr>
      <w:rFonts w:eastAsia="Calibri"/>
    </w:rPr>
  </w:style>
  <w:style w:type="paragraph" w:customStyle="1" w:styleId="ListParagraph1">
    <w:name w:val="List Paragraph1"/>
    <w:basedOn w:val="Normal"/>
    <w:uiPriority w:val="34"/>
    <w:qFormat/>
  </w:style>
  <w:style w:type="paragraph" w:customStyle="1" w:styleId="CharChar5">
    <w:name w:val="Char Char5"/>
    <w:basedOn w:val="Normal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DejaVu Sans" w:hAnsi="Calibri" w:cs="Calibri"/>
      <w:kern w:val="3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sz w:val="22"/>
      <w:szCs w:val="22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tabs>
        <w:tab w:val="clear" w:pos="709"/>
      </w:tabs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4536"/>
        <w:tab w:val="right" w:pos="9072"/>
      </w:tabs>
      <w:spacing w:after="0" w:line="240" w:lineRule="auto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lear" w:pos="709"/>
        <w:tab w:val="center" w:pos="4536"/>
        <w:tab w:val="right" w:pos="9072"/>
      </w:tabs>
      <w:spacing w:after="0" w:line="240" w:lineRule="auto"/>
    </w:pPr>
    <w:rPr>
      <w:rFonts w:eastAsia="Calibri"/>
    </w:rPr>
  </w:style>
  <w:style w:type="paragraph" w:customStyle="1" w:styleId="ListParagraph1">
    <w:name w:val="List Paragraph1"/>
    <w:basedOn w:val="Normal"/>
    <w:uiPriority w:val="34"/>
    <w:qFormat/>
  </w:style>
  <w:style w:type="paragraph" w:customStyle="1" w:styleId="CharChar5">
    <w:name w:val="Char Char5"/>
    <w:basedOn w:val="Normal"/>
    <w:pPr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DejaVu Sans" w:hAnsi="Calibri" w:cs="Calibri"/>
      <w:kern w:val="3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87919-9F8D-4028-BB30-B7C6EE75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Изх.№36 / 21.07.2015 г.</vt:lpstr>
    </vt:vector>
  </TitlesOfParts>
  <Company>bbf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Изх.№36 / 21.07.2015 г.</dc:title>
  <dc:creator>dan4e</dc:creator>
  <cp:lastModifiedBy>dan4e</cp:lastModifiedBy>
  <cp:revision>4</cp:revision>
  <cp:lastPrinted>2015-07-22T12:18:00Z</cp:lastPrinted>
  <dcterms:created xsi:type="dcterms:W3CDTF">2015-07-22T11:09:00Z</dcterms:created>
  <dcterms:modified xsi:type="dcterms:W3CDTF">2015-07-22T12:33:00Z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