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CC" w:rsidRPr="00FD64CA" w:rsidRDefault="003A63CC" w:rsidP="005D2364">
      <w:pPr>
        <w:jc w:val="both"/>
        <w:rPr>
          <w:b/>
          <w:u w:val="single"/>
          <w:lang w:val="en-US"/>
        </w:rPr>
      </w:pPr>
    </w:p>
    <w:p w:rsidR="00FD0096" w:rsidRPr="000B46D8" w:rsidRDefault="002F7BF3" w:rsidP="000B46D8">
      <w:pPr>
        <w:jc w:val="center"/>
        <w:rPr>
          <w:b/>
        </w:rPr>
      </w:pPr>
      <w:r>
        <w:rPr>
          <w:b/>
        </w:rPr>
        <w:t>Кампания за спасяване на ПП Странджа и промяна на ОУП на Царево</w:t>
      </w:r>
    </w:p>
    <w:p w:rsidR="00FD0096" w:rsidRPr="000B46D8" w:rsidRDefault="00FD0096" w:rsidP="005D2364">
      <w:pPr>
        <w:jc w:val="both"/>
        <w:rPr>
          <w:b/>
        </w:rPr>
      </w:pPr>
      <w:r w:rsidRPr="000B46D8">
        <w:rPr>
          <w:b/>
        </w:rPr>
        <w:t>Описание и история на случая</w:t>
      </w:r>
    </w:p>
    <w:p w:rsidR="00FD0096" w:rsidRPr="00FD64CA" w:rsidRDefault="002F7BF3" w:rsidP="005D2364">
      <w:pPr>
        <w:jc w:val="both"/>
        <w:rPr>
          <w:b/>
          <w:u w:val="single"/>
        </w:rPr>
      </w:pPr>
      <w:r>
        <w:rPr>
          <w:b/>
          <w:noProof/>
          <w:u w:val="single"/>
          <w:lang w:eastAsia="bg-BG"/>
        </w:rPr>
        <w:drawing>
          <wp:inline distT="0" distB="0" distL="0" distR="0">
            <wp:extent cx="5742505" cy="3038475"/>
            <wp:effectExtent l="0" t="0" r="0" b="0"/>
            <wp:docPr id="2" name="Picture 2" descr="C:\Windows\Temp\Rar$DIa0.790\bivol_Capture_2013-08-24_a_12.2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Rar$DIa0.790\bivol_Capture_2013-08-24_a_12.20.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528" cy="3036900"/>
                    </a:xfrm>
                    <a:prstGeom prst="rect">
                      <a:avLst/>
                    </a:prstGeom>
                    <a:noFill/>
                    <a:ln>
                      <a:noFill/>
                    </a:ln>
                  </pic:spPr>
                </pic:pic>
              </a:graphicData>
            </a:graphic>
          </wp:inline>
        </w:drawing>
      </w:r>
    </w:p>
    <w:p w:rsidR="00FD0096" w:rsidRDefault="002F7BF3" w:rsidP="005D2364">
      <w:pPr>
        <w:jc w:val="both"/>
        <w:rPr>
          <w:sz w:val="18"/>
          <w:szCs w:val="18"/>
        </w:rPr>
      </w:pPr>
      <w:r>
        <w:rPr>
          <w:sz w:val="18"/>
          <w:szCs w:val="18"/>
        </w:rPr>
        <w:t>Протест срещу застрояването на</w:t>
      </w:r>
      <w:r w:rsidR="00480290">
        <w:rPr>
          <w:sz w:val="18"/>
          <w:szCs w:val="18"/>
        </w:rPr>
        <w:t xml:space="preserve"> Природен парк</w:t>
      </w:r>
      <w:r>
        <w:rPr>
          <w:sz w:val="18"/>
          <w:szCs w:val="18"/>
        </w:rPr>
        <w:t xml:space="preserve"> Странджа </w:t>
      </w:r>
    </w:p>
    <w:p w:rsidR="002F7BF3" w:rsidRPr="00FD0D1C" w:rsidRDefault="00480290" w:rsidP="005D2364">
      <w:pPr>
        <w:jc w:val="both"/>
        <w:rPr>
          <w:sz w:val="18"/>
          <w:szCs w:val="18"/>
        </w:rPr>
      </w:pPr>
      <w:r>
        <w:rPr>
          <w:sz w:val="18"/>
          <w:szCs w:val="18"/>
        </w:rPr>
        <w:t>Снимка: Коалиция За да остане природа</w:t>
      </w:r>
      <w:bookmarkStart w:id="0" w:name="_GoBack"/>
      <w:bookmarkEnd w:id="0"/>
    </w:p>
    <w:p w:rsidR="00FD0096" w:rsidRPr="004D2985" w:rsidRDefault="00FD0096" w:rsidP="005D2364">
      <w:pPr>
        <w:jc w:val="both"/>
      </w:pPr>
      <w:r w:rsidRPr="00FD64CA">
        <w:t xml:space="preserve">Автор: </w:t>
      </w:r>
      <w:r w:rsidR="002F7BF3">
        <w:t>Радостина Цанова</w:t>
      </w:r>
    </w:p>
    <w:p w:rsidR="00FD0096" w:rsidRDefault="002F7BF3" w:rsidP="005D2364">
      <w:pPr>
        <w:jc w:val="both"/>
      </w:pPr>
      <w:r>
        <w:t>03.03.2016 г.</w:t>
      </w:r>
    </w:p>
    <w:p w:rsidR="002F7BF3" w:rsidRDefault="002F7BF3" w:rsidP="005D2364">
      <w:pPr>
        <w:jc w:val="both"/>
      </w:pPr>
    </w:p>
    <w:p w:rsidR="002F7BF3" w:rsidRDefault="002F7BF3" w:rsidP="005D2364">
      <w:pPr>
        <w:jc w:val="both"/>
      </w:pPr>
    </w:p>
    <w:p w:rsidR="002F7BF3" w:rsidRDefault="002F7BF3" w:rsidP="005D2364">
      <w:pPr>
        <w:jc w:val="both"/>
      </w:pPr>
    </w:p>
    <w:p w:rsidR="002F7BF3" w:rsidRPr="00FD64CA" w:rsidRDefault="002F7BF3" w:rsidP="005D2364">
      <w:pPr>
        <w:jc w:val="both"/>
      </w:pPr>
    </w:p>
    <w:p w:rsidR="00C65984" w:rsidRPr="008E672E" w:rsidRDefault="007D1016" w:rsidP="005D2364">
      <w:pPr>
        <w:jc w:val="both"/>
        <w:rPr>
          <w:b/>
          <w:sz w:val="20"/>
          <w:szCs w:val="20"/>
          <w:u w:val="single"/>
          <w:lang w:val="en-US"/>
        </w:rPr>
      </w:pPr>
      <w:r>
        <w:rPr>
          <w:noProof/>
          <w:sz w:val="20"/>
          <w:szCs w:val="20"/>
          <w:lang w:eastAsia="bg-BG"/>
        </w:rPr>
        <w:drawing>
          <wp:anchor distT="0" distB="0" distL="114300" distR="114300" simplePos="0" relativeHeight="251657728" behindDoc="1" locked="0" layoutInCell="1" allowOverlap="1" wp14:anchorId="283F0B4E" wp14:editId="15A18A4D">
            <wp:simplePos x="0" y="0"/>
            <wp:positionH relativeFrom="column">
              <wp:posOffset>-170180</wp:posOffset>
            </wp:positionH>
            <wp:positionV relativeFrom="paragraph">
              <wp:posOffset>92075</wp:posOffset>
            </wp:positionV>
            <wp:extent cx="1717040" cy="1717040"/>
            <wp:effectExtent l="0" t="0" r="0" b="0"/>
            <wp:wrapTight wrapText="bothSides">
              <wp:wrapPolygon edited="0">
                <wp:start x="0" y="0"/>
                <wp:lineTo x="0" y="21328"/>
                <wp:lineTo x="21328" y="21328"/>
                <wp:lineTo x="21328" y="0"/>
                <wp:lineTo x="0" y="0"/>
              </wp:wrapPolygon>
            </wp:wrapTight>
            <wp:docPr id="3" name="Picture 2" descr="EEA_Grants_JPG_464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_Grants_JPG_4642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040" cy="1717040"/>
                    </a:xfrm>
                    <a:prstGeom prst="rect">
                      <a:avLst/>
                    </a:prstGeom>
                    <a:noFill/>
                  </pic:spPr>
                </pic:pic>
              </a:graphicData>
            </a:graphic>
            <wp14:sizeRelH relativeFrom="page">
              <wp14:pctWidth>0</wp14:pctWidth>
            </wp14:sizeRelH>
            <wp14:sizeRelV relativeFrom="page">
              <wp14:pctHeight>0</wp14:pctHeight>
            </wp14:sizeRelV>
          </wp:anchor>
        </w:drawing>
      </w:r>
      <w:r w:rsidR="00C65984" w:rsidRPr="008E672E">
        <w:rPr>
          <w:sz w:val="20"/>
          <w:szCs w:val="20"/>
        </w:rPr>
        <w:t>Описа</w:t>
      </w:r>
      <w:r w:rsidR="002F7BF3">
        <w:rPr>
          <w:sz w:val="20"/>
          <w:szCs w:val="20"/>
        </w:rPr>
        <w:t xml:space="preserve">нието на кампания за спасяване </w:t>
      </w:r>
      <w:r w:rsidR="002F7BF3" w:rsidRPr="002F7BF3">
        <w:rPr>
          <w:b/>
          <w:sz w:val="20"/>
          <w:szCs w:val="20"/>
        </w:rPr>
        <w:t>ПП Странджа и промяна на ОУП на Царево</w:t>
      </w:r>
      <w:r w:rsidR="00C65984" w:rsidRPr="008E672E">
        <w:rPr>
          <w:sz w:val="20"/>
          <w:szCs w:val="20"/>
        </w:rPr>
        <w:t xml:space="preserve"> </w:t>
      </w:r>
      <w:r w:rsidR="00FD0096" w:rsidRPr="008E672E">
        <w:rPr>
          <w:sz w:val="20"/>
          <w:szCs w:val="20"/>
        </w:rPr>
        <w:t xml:space="preserve">е изготвено </w:t>
      </w:r>
      <w:r w:rsidR="00C65984" w:rsidRPr="008E672E">
        <w:rPr>
          <w:sz w:val="20"/>
          <w:szCs w:val="20"/>
        </w:rPr>
        <w:t xml:space="preserve">по </w:t>
      </w:r>
      <w:r w:rsidR="00C65984" w:rsidRPr="008E672E">
        <w:rPr>
          <w:b/>
          <w:bCs/>
          <w:sz w:val="20"/>
          <w:szCs w:val="20"/>
        </w:rPr>
        <w:t>проект "Участие за природа"</w:t>
      </w:r>
      <w:r w:rsidR="00C65984" w:rsidRPr="008E672E">
        <w:rPr>
          <w:sz w:val="20"/>
          <w:szCs w:val="20"/>
        </w:rPr>
        <w:t>, изпълняван от Българска фондация Биоразнообразие в партньорство с Екологично сдружение "За Земята" и Информационна мрежа Блулинк с финансиране в рамките на Програмата за подкрепа на НПО в България по финансовия механизъм на Европейското икономическо пространство 2009-2014 г. http://ngogrants.bg. Цялата отговорност за съдържанието на документа се носи от Българска Фондация Биоразнообразие и при никакви обстоятелства не може да се приема, че този документ отразява официалното становище на Финансовия механизъм на Европейското икономическо пространство и Оператора на Програмата за подкрепа на неправителствени организации в България.</w:t>
      </w:r>
    </w:p>
    <w:p w:rsidR="00002BEE" w:rsidRDefault="00FD0096" w:rsidP="005D2364">
      <w:pPr>
        <w:jc w:val="both"/>
        <w:rPr>
          <w:b/>
          <w:sz w:val="28"/>
          <w:szCs w:val="28"/>
          <w:lang w:val="en-US"/>
        </w:rPr>
      </w:pPr>
      <w:r w:rsidRPr="00FD64CA">
        <w:br w:type="page"/>
      </w:r>
    </w:p>
    <w:p w:rsidR="002F7BF3" w:rsidRPr="002F7BF3" w:rsidRDefault="002F7BF3" w:rsidP="002F7BF3">
      <w:pPr>
        <w:jc w:val="both"/>
      </w:pPr>
    </w:p>
    <w:p w:rsidR="002F7BF3" w:rsidRPr="00480290" w:rsidRDefault="00F16D7B" w:rsidP="00480290">
      <w:pPr>
        <w:pStyle w:val="Heading6"/>
        <w:rPr>
          <w:rStyle w:val="IntenseEmphasis"/>
          <w:rFonts w:asciiTheme="minorHAnsi" w:hAnsiTheme="minorHAnsi"/>
        </w:rPr>
      </w:pPr>
      <w:r w:rsidRPr="00480290">
        <w:rPr>
          <w:rStyle w:val="IntenseEmphasis"/>
          <w:rFonts w:asciiTheme="minorHAnsi" w:hAnsiTheme="minorHAnsi"/>
        </w:rPr>
        <w:t>1.</w:t>
      </w:r>
      <w:r w:rsidRPr="00480290">
        <w:rPr>
          <w:rStyle w:val="IntenseEmphasis"/>
          <w:rFonts w:asciiTheme="minorHAnsi" w:hAnsiTheme="minorHAnsi"/>
        </w:rPr>
        <w:t>Увод</w:t>
      </w:r>
    </w:p>
    <w:p w:rsidR="00480290" w:rsidRPr="00480290" w:rsidRDefault="00480290" w:rsidP="00480290"/>
    <w:p w:rsidR="002F7BF3" w:rsidRPr="002F7BF3" w:rsidRDefault="002F7BF3" w:rsidP="002F7BF3">
      <w:pPr>
        <w:jc w:val="both"/>
      </w:pPr>
      <w:r w:rsidRPr="002F7BF3">
        <w:t>Случаят с</w:t>
      </w:r>
      <w:r w:rsidRPr="002F7BF3">
        <w:rPr>
          <w:b/>
          <w:bCs/>
        </w:rPr>
        <w:t xml:space="preserve"> </w:t>
      </w:r>
      <w:r w:rsidRPr="002F7BF3">
        <w:rPr>
          <w:bCs/>
        </w:rPr>
        <w:t>Общия устройствен план</w:t>
      </w:r>
      <w:r w:rsidRPr="002F7BF3">
        <w:t xml:space="preserve"> (ОУП) на Община Царево касае най-голямата защитена територия в България – Природен парк “Странджа” и по-специално неговата крайбрежна част (от Ахтопол до Резово), където се предвижда интензивно развитие след евентуалното одобрение и реализиране на Плана. След години съдебни спорове</w:t>
      </w:r>
      <w:r w:rsidRPr="002F7BF3">
        <w:rPr>
          <w:lang w:val="en-US"/>
        </w:rPr>
        <w:t xml:space="preserve">, </w:t>
      </w:r>
      <w:r w:rsidRPr="002F7BF3">
        <w:t>през 2014 г. Върховния административен съд (ВАС) допуска влизането в сила на общия устройствен план на община Царево, въпреки че този план е изготвен без задължителната екологична оценка. ОУП-а на Царево предвижда почти 100% застрояване на крайбрежната част на Природен парк Странджа и узаконяване на спрения незаконен строеж на комплекс "Златна перла“ край с. Варвара в природния парк.</w:t>
      </w:r>
    </w:p>
    <w:p w:rsidR="002F7BF3" w:rsidRPr="002F7BF3" w:rsidRDefault="002F7BF3" w:rsidP="002F7BF3">
      <w:pPr>
        <w:jc w:val="both"/>
      </w:pPr>
      <w:r w:rsidRPr="002F7BF3">
        <w:t>Планът предвижда построяване на нови 75 000 легла по южното Черноморие, като тотално пренебрегва наличието на природен парк и защитените зони от европейската мрежа Натура 2000 в община Царево.</w:t>
      </w:r>
    </w:p>
    <w:p w:rsidR="002F7BF3" w:rsidRPr="00480290" w:rsidRDefault="00F16D7B" w:rsidP="002F7BF3">
      <w:pPr>
        <w:jc w:val="both"/>
        <w:rPr>
          <w:b/>
          <w:bCs/>
          <w:i/>
          <w:iCs/>
          <w:color w:val="4F81BD" w:themeColor="accent1"/>
        </w:rPr>
      </w:pPr>
      <w:r w:rsidRPr="00480290">
        <w:rPr>
          <w:rStyle w:val="IntenseEmphasis"/>
          <w:i w:val="0"/>
        </w:rPr>
        <w:t>2.</w:t>
      </w:r>
      <w:r w:rsidRPr="00480290">
        <w:rPr>
          <w:rStyle w:val="IntenseEmphasis"/>
          <w:i w:val="0"/>
        </w:rPr>
        <w:t>Природозащитна стойност</w:t>
      </w:r>
    </w:p>
    <w:p w:rsidR="002F7BF3" w:rsidRPr="002F7BF3" w:rsidRDefault="002F7BF3" w:rsidP="002F7BF3">
      <w:pPr>
        <w:jc w:val="both"/>
      </w:pPr>
      <w:r w:rsidRPr="002F7BF3">
        <w:t xml:space="preserve">Природен парк (ПП) “Странджа” е разположен в Югоизточната част на България на границата и с Турция и обхваща водосборите на реките Велека и Резовска в българската част на планината. Той заема 1 % от площта на България и това го прави най-голямата защитена територия в страната (116 068.5 ха).  На територията на парка се намират пет строги резервата, един от които, “Узунбуджак”, е биосферен резерват, а друг – “Силкосия” е първият, обявен в страната. Освен тях в границите на парка се намират 17 природни забележителности и 15 защитени местности, някои от които уникални за България по отношение на ландшафтните си характеристики – ЗМ “Устието на река Велека” и “Силистар”, ЗМ “Велека” и др. </w:t>
      </w:r>
    </w:p>
    <w:p w:rsidR="002F7BF3" w:rsidRPr="002F7BF3" w:rsidRDefault="002F7BF3" w:rsidP="002F7BF3">
      <w:pPr>
        <w:jc w:val="both"/>
        <w:rPr>
          <w:i/>
        </w:rPr>
      </w:pPr>
      <w:r w:rsidRPr="002F7BF3">
        <w:t xml:space="preserve">Особеното разположение на парка на подстъпите на Европа към Азия го прави уникален, както по отношение на изключителното за Европа биоразнообразие, така и в културно-исторически план. Като цяло територията е типичен представител </w:t>
      </w:r>
      <w:r w:rsidRPr="002F7BF3">
        <w:rPr>
          <w:i/>
        </w:rPr>
        <w:t xml:space="preserve">на суббиома на широколистните листопадни гори на умерения пояс с лавровиден подлес. </w:t>
      </w:r>
    </w:p>
    <w:p w:rsidR="002F7BF3" w:rsidRPr="002F7BF3" w:rsidRDefault="002F7BF3" w:rsidP="002F7BF3">
      <w:pPr>
        <w:jc w:val="both"/>
      </w:pPr>
      <w:r w:rsidRPr="002F7BF3">
        <w:t xml:space="preserve">За разлика от другите паркове в страната в рамките на ПП “Странджа” се намират 21 населени места. Тук човекът трайно съжителства с природата, а някои от селищата в парка до голяма степен допълват уникалността на природните екосистеми. </w:t>
      </w:r>
      <w:r w:rsidRPr="002F7BF3">
        <w:tab/>
        <w:t xml:space="preserve"> </w:t>
      </w:r>
    </w:p>
    <w:p w:rsidR="002F7BF3" w:rsidRPr="002F7BF3" w:rsidRDefault="002F7BF3" w:rsidP="002F7BF3">
      <w:pPr>
        <w:jc w:val="both"/>
      </w:pPr>
      <w:r w:rsidRPr="002F7BF3">
        <w:t>За първи път комплексната природозащитна стойност на парковата територия е заявена през 1991 г., когато районът на Странджа е представен от IUCN пред Съвета на Европа и Министерството на околната среда в България като приоритетен с цел опазване на биоразнообразието в рамките на природосъобразно социално-икономическо развитие.</w:t>
      </w:r>
    </w:p>
    <w:p w:rsidR="002F7BF3" w:rsidRPr="002F7BF3" w:rsidRDefault="002F7BF3" w:rsidP="002F7BF3">
      <w:pPr>
        <w:jc w:val="both"/>
      </w:pPr>
      <w:r w:rsidRPr="002F7BF3">
        <w:t>С обявяването на Народен парк “Странджа” през 1995 г. се определят точните граници на парка, поставя се началото на целенасочено и цялостно опазване на неговата територия и се дефинират целите на неговото управление. Тогава се създава и Дирекцията на Природния парк, която отговаря за управлението на територията.</w:t>
      </w:r>
      <w:r w:rsidRPr="002F7BF3">
        <w:tab/>
      </w:r>
    </w:p>
    <w:p w:rsidR="002F7BF3" w:rsidRPr="002F7BF3" w:rsidRDefault="002F7BF3" w:rsidP="002F7BF3">
      <w:pPr>
        <w:jc w:val="both"/>
      </w:pPr>
      <w:r w:rsidRPr="002F7BF3">
        <w:t xml:space="preserve">Паркът припокрива защитена зона по Директива за птиците Странджа BG0002040 и граничи на запад с защитена зона Дервентски възвишения BG0000219, а на север с защитена зона Босна BG0000208. </w:t>
      </w:r>
      <w:r w:rsidRPr="002F7BF3">
        <w:lastRenderedPageBreak/>
        <w:t xml:space="preserve">Разположена в Черноморски биогеографски регион. Общата площ на защитената зона е 1 182 250,30 декара, надморска височина от 0 до 657, средна н.в. 326. Над 80% от зоната са гори, 15% са храсталаци, орни земи и пасища, 2% море и 1% урбанизирани територии. </w:t>
      </w:r>
    </w:p>
    <w:p w:rsidR="002F7BF3" w:rsidRPr="002F7BF3" w:rsidRDefault="002F7BF3" w:rsidP="002F7BF3">
      <w:pPr>
        <w:jc w:val="both"/>
      </w:pPr>
      <w:r w:rsidRPr="002F7BF3">
        <w:t xml:space="preserve">Зоната включва дялове от Странджа планина и нейните покрайнини, спускащи се в Черно море, както и двукилометровата крайбрежна зона. </w:t>
      </w:r>
    </w:p>
    <w:p w:rsidR="002F7BF3" w:rsidRPr="002F7BF3" w:rsidRDefault="002F7BF3" w:rsidP="002F7BF3">
      <w:pPr>
        <w:jc w:val="both"/>
      </w:pPr>
      <w:r w:rsidRPr="002F7BF3">
        <w:t xml:space="preserve">Зоната включва основно значителни територии гори – балкано-панонски церово¬горунови гори (код 91MO), западнопонтийски букови гори (код 91S0), крайречни смесени гори от </w:t>
      </w:r>
      <w:r w:rsidRPr="002F7BF3">
        <w:rPr>
          <w:i/>
        </w:rPr>
        <w:t>Quercus robur, Ulmus laevis и Fraxinus excelsior или Fraxinus angustifolia</w:t>
      </w:r>
      <w:r w:rsidRPr="002F7BF3">
        <w:t xml:space="preserve"> покрай големи реки (код 91F0), алувиални гори с Alnus glutinosa и Fraxinus excelsior (код 91E0). Това е най-важната зона за опазването на западнопонтийските букови гори. В зоната има 2 големи и 2 малки устия на реки (код 1130). </w:t>
      </w:r>
    </w:p>
    <w:p w:rsidR="002F7BF3" w:rsidRPr="002F7BF3" w:rsidRDefault="002F7BF3" w:rsidP="002F7BF3">
      <w:pPr>
        <w:jc w:val="both"/>
      </w:pPr>
      <w:r w:rsidRPr="002F7BF3">
        <w:t xml:space="preserve">Преобладаващата дължина на крайбрежната ивица е заета от скали, които спадат към местообитанието стръмни морски скали, обрасли с ендемични видове </w:t>
      </w:r>
      <w:r w:rsidRPr="002F7BF3">
        <w:rPr>
          <w:i/>
        </w:rPr>
        <w:t>Limonium</w:t>
      </w:r>
      <w:r w:rsidRPr="002F7BF3">
        <w:t xml:space="preserve"> (код 1240). Белите (код 2120) и сивите дюни (код 2130) са под формата на тясна ивица край плажовете -основно в близост до устията на реките. </w:t>
      </w:r>
    </w:p>
    <w:p w:rsidR="002F7BF3" w:rsidRPr="002F7BF3" w:rsidRDefault="002F7BF3" w:rsidP="002F7BF3">
      <w:pPr>
        <w:jc w:val="both"/>
      </w:pPr>
      <w:r w:rsidRPr="002F7BF3">
        <w:t>Това е най-важното място за южната блатна костенурка (</w:t>
      </w:r>
      <w:r w:rsidRPr="002F7BF3">
        <w:rPr>
          <w:i/>
        </w:rPr>
        <w:t>Mauremys caspica</w:t>
      </w:r>
      <w:r w:rsidRPr="002F7BF3">
        <w:t>) в Черноморския район. Важни местообитания също така за обикновената блатна костенурка (</w:t>
      </w:r>
      <w:r w:rsidRPr="002F7BF3">
        <w:rPr>
          <w:i/>
        </w:rPr>
        <w:t>Emys orbicularis</w:t>
      </w:r>
      <w:r w:rsidRPr="002F7BF3">
        <w:t>), червенокоремната бумка (</w:t>
      </w:r>
      <w:r w:rsidRPr="002F7BF3">
        <w:rPr>
          <w:i/>
        </w:rPr>
        <w:t>Bombina bombina</w:t>
      </w:r>
      <w:r w:rsidRPr="002F7BF3">
        <w:t>) и видрата (</w:t>
      </w:r>
      <w:r w:rsidRPr="002F7BF3">
        <w:rPr>
          <w:i/>
        </w:rPr>
        <w:t>Lutra lutra</w:t>
      </w:r>
      <w:r w:rsidRPr="002F7BF3">
        <w:t>), шипоопашата и шипобедрената костенурки (</w:t>
      </w:r>
      <w:r w:rsidRPr="002F7BF3">
        <w:rPr>
          <w:i/>
        </w:rPr>
        <w:t>Testudo hermanni и Testudo graeca</w:t>
      </w:r>
      <w:r w:rsidRPr="002F7BF3">
        <w:t>) и пъстрия смок (</w:t>
      </w:r>
      <w:r w:rsidRPr="002F7BF3">
        <w:rPr>
          <w:i/>
        </w:rPr>
        <w:t>Elaphe quatorlineata sauromates</w:t>
      </w:r>
      <w:r w:rsidRPr="002F7BF3">
        <w:t>). Последните обитават територии с не гъста храстова растителност, границите между гъсти гори и пасища или обработваеми земи, синори в земите с екстензивно земеделие. Зоната е от изключително значение за опазване на резовския карагьоз (</w:t>
      </w:r>
      <w:r w:rsidRPr="002F7BF3">
        <w:rPr>
          <w:i/>
        </w:rPr>
        <w:t>Alosa tanaica</w:t>
      </w:r>
      <w:r w:rsidRPr="002F7BF3">
        <w:t>) и серия от безгръбначни животни като осмодерма (</w:t>
      </w:r>
      <w:r w:rsidRPr="002F7BF3">
        <w:rPr>
          <w:i/>
        </w:rPr>
        <w:t>Osmoderma eremita</w:t>
      </w:r>
      <w:r w:rsidRPr="002F7BF3">
        <w:t>), алпийска розалия (</w:t>
      </w:r>
      <w:r w:rsidRPr="002F7BF3">
        <w:rPr>
          <w:i/>
        </w:rPr>
        <w:t>Rosalia alpine</w:t>
      </w:r>
      <w:r w:rsidRPr="002F7BF3">
        <w:t>), Bolbelasmus unicornis, Еуфидриас (</w:t>
      </w:r>
      <w:r w:rsidRPr="002F7BF3">
        <w:rPr>
          <w:i/>
        </w:rPr>
        <w:t>Euphydryas aurinia</w:t>
      </w:r>
      <w:r w:rsidRPr="002F7BF3">
        <w:t>), Обикновен паракалоптенус (</w:t>
      </w:r>
      <w:r w:rsidRPr="002F7BF3">
        <w:rPr>
          <w:i/>
        </w:rPr>
        <w:t>Paracaloptenus caloptenoides</w:t>
      </w:r>
      <w:r w:rsidRPr="002F7BF3">
        <w:t xml:space="preserve">). </w:t>
      </w:r>
    </w:p>
    <w:p w:rsidR="002F7BF3" w:rsidRPr="002F7BF3" w:rsidRDefault="002F7BF3" w:rsidP="002F7BF3">
      <w:pPr>
        <w:jc w:val="both"/>
      </w:pPr>
      <w:r w:rsidRPr="002F7BF3">
        <w:t>ПП Странджа е защитена зона по Директива за птиците, която припокрива защитена зона по Директива за местообитанията Странджа BG0001007 и граничи на запад с защитена зона Дервентски възвишения BG0000219, а на север с защитена зона Босна BG0000208. Разположена в Черноморски биогеографски регион.</w:t>
      </w:r>
    </w:p>
    <w:p w:rsidR="002F7BF3" w:rsidRPr="00480290" w:rsidRDefault="00F16D7B" w:rsidP="002F7BF3">
      <w:pPr>
        <w:jc w:val="both"/>
        <w:rPr>
          <w:b/>
          <w:bCs/>
          <w:i/>
          <w:iCs/>
          <w:color w:val="4F81BD" w:themeColor="accent1"/>
        </w:rPr>
      </w:pPr>
      <w:r w:rsidRPr="00480290">
        <w:rPr>
          <w:rStyle w:val="IntenseEmphasis"/>
          <w:i w:val="0"/>
        </w:rPr>
        <w:t xml:space="preserve">3. </w:t>
      </w:r>
      <w:r w:rsidRPr="00480290">
        <w:rPr>
          <w:rStyle w:val="IntenseEmphasis"/>
          <w:i w:val="0"/>
        </w:rPr>
        <w:t xml:space="preserve">Заплаха </w:t>
      </w:r>
    </w:p>
    <w:p w:rsidR="002F7BF3" w:rsidRPr="002F7BF3" w:rsidRDefault="002F7BF3" w:rsidP="002F7BF3">
      <w:pPr>
        <w:jc w:val="both"/>
      </w:pPr>
      <w:r w:rsidRPr="002F7BF3">
        <w:t>С договор №296/28.11.2006 г. Министерството на регионалното развитие и благоустройството (МРРБ) в качеството си на възложител възлага на „АСА” ООД изработването на проект за изменение на общия устройствен план на община Царево. С писмо изх. № 08-Ц-38/27.09.2007 г. изработеният проект е изпратен на община Царево. С последващо писмо изх.№ 08-Ц-38/16.11.2007 г. на заместник-министъра на МРРБ Савин Ковачев, МРРБ в качеството си на възложител е упълномощило  Кмета на община Царево инж. Петко Арнаудов да проведе всички необходими процедури по съобщаване, обществено обсъждане и съгласуване със заинтересуваните централни и териториални администрации, специализирани контролни органи и експлоатационни дружества.</w:t>
      </w:r>
    </w:p>
    <w:p w:rsidR="002F7BF3" w:rsidRPr="002F7BF3" w:rsidRDefault="002F7BF3" w:rsidP="002F7BF3">
      <w:pPr>
        <w:jc w:val="both"/>
      </w:pPr>
      <w:r w:rsidRPr="002F7BF3">
        <w:t xml:space="preserve">С оглед на това и на основание чл. 127, ал. 1 ЗУТ и в изпълнение на заповед № РД-1019/29.11.2007 г. на кмета на община Царево, община Царево насрочва процедура по обществено обсъждане  на проект за изменение на Общ устройствен план на община Царево на 11.01.2008 г. В проекто-плана има редица сериозни противоречия, които донякъде можеха да се решат с доклада за Екологична оценка (ЕО) на ОПУ, но това не се случва на практика и ЕО е скандална като качество на </w:t>
      </w:r>
      <w:r w:rsidRPr="002F7BF3">
        <w:lastRenderedPageBreak/>
        <w:t>съдържанието и некомпетентност на направените анализи и изводи, включително противоречащи на законодателството в България. Докладът за Екологична оценка е изготвен от Еко Енергопроект. Слабият доклад по ЕО предизвиква вълна от недоволство, както на самото обществено обсъждане, така и като внесени многобройни негативни становища от  Коалицията „За да остане природа в България”, различни експерти по биоразнообразие, авторът на предишния териториално-устройствен план, различни стопански организации и др. Неправителствените организации атакуват ЕО, тъй като това е единственият законов механизъм за въздействие, с който разполагат срещу огромното застрояване, планирано в ОПУ.</w:t>
      </w:r>
    </w:p>
    <w:p w:rsidR="002F7BF3" w:rsidRPr="002F7BF3" w:rsidRDefault="002F7BF3" w:rsidP="002F7BF3">
      <w:pPr>
        <w:jc w:val="both"/>
      </w:pPr>
      <w:r w:rsidRPr="002F7BF3">
        <w:t xml:space="preserve">В предвижданията на плана има правна недопустимост. Строителството на жилищни, курортни и вилни сгради в ЗМ Устие на Велека е в противоречие на режима, определен в заповед 608 на МОС (ДВ 77, 1992). Има решение на РИОСВ Бургас в доклада на ЕО това противоречие да бъде оправено, но това не е отразено. Правно противоречие е и предложението, което прави МРРБ, като възложител чрез плана за изменение на ОУП на община Царево за изключване и включване на територии в ПП. Процедурите за промени в защитените територии се определят от Закона за защитените територии  и не могат да са част от процедура за одобряване на ОУП. </w:t>
      </w:r>
    </w:p>
    <w:p w:rsidR="002F7BF3" w:rsidRPr="002F7BF3" w:rsidRDefault="002F7BF3" w:rsidP="002F7BF3">
      <w:pPr>
        <w:jc w:val="both"/>
      </w:pPr>
      <w:r w:rsidRPr="002F7BF3">
        <w:t>РИОСВ Бургас предлага алтернативен вариант на плана, в който да се отстранят несъответствията от текста и картния материал. МОСВ препоръчва в алтернативния вариант да се изготви ЕО, която да включва оценка за степента на въздействие на плана върху ЗЗ Странджа, Босна и Караагач. Екоминиствеството препоръчва още консултации с екипа, изготвил предварителния ПУ на ПП Странджа, но такива не са направени.</w:t>
      </w:r>
    </w:p>
    <w:p w:rsidR="0004630B" w:rsidRPr="00480290" w:rsidRDefault="00F16D7B" w:rsidP="002F7BF3">
      <w:pPr>
        <w:jc w:val="both"/>
        <w:rPr>
          <w:b/>
          <w:bCs/>
          <w:i/>
          <w:iCs/>
          <w:color w:val="4F81BD" w:themeColor="accent1"/>
        </w:rPr>
      </w:pPr>
      <w:r w:rsidRPr="00480290">
        <w:rPr>
          <w:rStyle w:val="IntenseEmphasis"/>
          <w:i w:val="0"/>
        </w:rPr>
        <w:t xml:space="preserve">4. </w:t>
      </w:r>
      <w:r w:rsidRPr="00480290">
        <w:rPr>
          <w:rStyle w:val="IntenseEmphasis"/>
          <w:i w:val="0"/>
        </w:rPr>
        <w:t>Какво пр</w:t>
      </w:r>
      <w:r w:rsidRPr="00480290">
        <w:rPr>
          <w:rStyle w:val="IntenseEmphasis"/>
          <w:i w:val="0"/>
        </w:rPr>
        <w:t>едвижда новия план?</w:t>
      </w:r>
    </w:p>
    <w:p w:rsidR="002F7BF3" w:rsidRPr="002F7BF3" w:rsidRDefault="002F7BF3" w:rsidP="002F7BF3">
      <w:pPr>
        <w:jc w:val="both"/>
      </w:pPr>
      <w:r w:rsidRPr="002F7BF3">
        <w:rPr>
          <w:b/>
        </w:rPr>
        <w:t>ОУП-а на Царево предвижда почти 100% застрояване на крайбрежната част на Природен парк Странджа и узаконяване на спрения незаконен строеж на комплекс "Златна перла“ край с.Варвара в природния парк.</w:t>
      </w:r>
      <w:r w:rsidRPr="002F7BF3">
        <w:t xml:space="preserve"> И по-конкретно:</w:t>
      </w:r>
    </w:p>
    <w:p w:rsidR="002F7BF3" w:rsidRPr="002F7BF3" w:rsidRDefault="002F7BF3" w:rsidP="002F7BF3">
      <w:pPr>
        <w:jc w:val="both"/>
      </w:pPr>
      <w:r w:rsidRPr="002F7BF3">
        <w:t>- да удвои застроената площ в границите на парка до 9318 декара. Тъй като жителите на общината са 2953, така на един жител в парка се падат по 3,2 декара застроена площ, а за село Варвара тази площ е 12 декара на 1 жител.</w:t>
      </w:r>
    </w:p>
    <w:p w:rsidR="002F7BF3" w:rsidRPr="002F7BF3" w:rsidRDefault="002F7BF3" w:rsidP="002F7BF3">
      <w:pPr>
        <w:jc w:val="both"/>
      </w:pPr>
      <w:r w:rsidRPr="002F7BF3">
        <w:t xml:space="preserve">- да се построят 42 000 апартамента, което прави средно по 14 апартамента на жител, като за село Резово на един жител се падат по 50 апартамента, а в с. Синеморец на един жител -  25 апартамента. </w:t>
      </w:r>
    </w:p>
    <w:p w:rsidR="002F7BF3" w:rsidRPr="002F7BF3" w:rsidRDefault="002F7BF3" w:rsidP="002F7BF3">
      <w:pPr>
        <w:jc w:val="both"/>
      </w:pPr>
      <w:r w:rsidRPr="002F7BF3">
        <w:t>- Планът определя 32 локализации за курорти и курортни комплекси, 44 за вилни зони – вкл. във вътрешността на общината.</w:t>
      </w:r>
    </w:p>
    <w:p w:rsidR="002F7BF3" w:rsidRPr="002F7BF3" w:rsidRDefault="002F7BF3" w:rsidP="002F7BF3">
      <w:pPr>
        <w:jc w:val="both"/>
      </w:pPr>
      <w:r w:rsidRPr="002F7BF3">
        <w:t>- да се построят хотели с 15 000 легла (което е два пъти колкото курорта Банско)</w:t>
      </w:r>
    </w:p>
    <w:p w:rsidR="002F7BF3" w:rsidRDefault="002F7BF3" w:rsidP="002F7BF3">
      <w:pPr>
        <w:jc w:val="both"/>
      </w:pPr>
      <w:r w:rsidRPr="002F7BF3">
        <w:t>- нови 100 000 легла в Парка – почти колкото населението на община Велико Търново.</w:t>
      </w:r>
    </w:p>
    <w:p w:rsidR="00480290" w:rsidRDefault="00480290" w:rsidP="002F7BF3">
      <w:pPr>
        <w:jc w:val="both"/>
      </w:pPr>
    </w:p>
    <w:p w:rsidR="00480290" w:rsidRDefault="00480290" w:rsidP="002F7BF3">
      <w:pPr>
        <w:jc w:val="both"/>
      </w:pPr>
    </w:p>
    <w:p w:rsidR="00480290" w:rsidRDefault="00480290" w:rsidP="002F7BF3">
      <w:pPr>
        <w:jc w:val="both"/>
      </w:pPr>
    </w:p>
    <w:p w:rsidR="00480290" w:rsidRDefault="00480290" w:rsidP="002F7BF3">
      <w:pPr>
        <w:jc w:val="both"/>
      </w:pPr>
    </w:p>
    <w:p w:rsidR="00480290" w:rsidRPr="002F7BF3" w:rsidRDefault="00480290" w:rsidP="002F7BF3">
      <w:pPr>
        <w:jc w:val="both"/>
      </w:pPr>
    </w:p>
    <w:p w:rsidR="002F7BF3" w:rsidRPr="002F7BF3" w:rsidRDefault="002F7BF3" w:rsidP="002F7BF3">
      <w:pPr>
        <w:jc w:val="both"/>
        <w:rPr>
          <w:b/>
        </w:rPr>
      </w:pPr>
      <w:r w:rsidRPr="002F7BF3">
        <w:rPr>
          <w:b/>
        </w:rPr>
        <w:lastRenderedPageBreak/>
        <w:t>Анализ на предвижданията на ОУП на Царево спрямо територията на природен парк Странджа:</w:t>
      </w:r>
    </w:p>
    <w:tbl>
      <w:tblPr>
        <w:tblW w:w="10648" w:type="dxa"/>
        <w:tblInd w:w="-176" w:type="dxa"/>
        <w:tblLayout w:type="fixed"/>
        <w:tblLook w:val="0000" w:firstRow="0" w:lastRow="0" w:firstColumn="0" w:lastColumn="0" w:noHBand="0" w:noVBand="0"/>
      </w:tblPr>
      <w:tblGrid>
        <w:gridCol w:w="1277"/>
        <w:gridCol w:w="708"/>
        <w:gridCol w:w="851"/>
        <w:gridCol w:w="833"/>
        <w:gridCol w:w="726"/>
        <w:gridCol w:w="851"/>
        <w:gridCol w:w="726"/>
        <w:gridCol w:w="568"/>
        <w:gridCol w:w="690"/>
        <w:gridCol w:w="687"/>
        <w:gridCol w:w="1123"/>
        <w:gridCol w:w="883"/>
        <w:gridCol w:w="725"/>
      </w:tblGrid>
      <w:tr w:rsidR="002F7BF3" w:rsidRPr="002F7BF3" w:rsidTr="0094515B">
        <w:trPr>
          <w:cantSplit/>
          <w:trHeight w:val="154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 </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жители</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Нови застроени площи с ОУП</w:t>
            </w:r>
          </w:p>
        </w:tc>
        <w:tc>
          <w:tcPr>
            <w:tcW w:w="833"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нови застроени площи на 1 жител</w:t>
            </w:r>
          </w:p>
        </w:tc>
        <w:tc>
          <w:tcPr>
            <w:tcW w:w="726"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застроени площи до момента</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общо застроени площи</w:t>
            </w:r>
          </w:p>
        </w:tc>
        <w:tc>
          <w:tcPr>
            <w:tcW w:w="726"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застроена площ на 1 жител по стар ОУП</w:t>
            </w:r>
          </w:p>
        </w:tc>
        <w:tc>
          <w:tcPr>
            <w:tcW w:w="568"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общо застроена площ на 1 жител по стар и нов ОУП</w:t>
            </w:r>
          </w:p>
        </w:tc>
        <w:tc>
          <w:tcPr>
            <w:tcW w:w="690"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апартаменти във вилни зони</w:t>
            </w:r>
          </w:p>
        </w:tc>
        <w:tc>
          <w:tcPr>
            <w:tcW w:w="687"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легла в хотели</w:t>
            </w:r>
          </w:p>
        </w:tc>
        <w:tc>
          <w:tcPr>
            <w:tcW w:w="1123"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апартаменти на 1 жител</w:t>
            </w:r>
          </w:p>
        </w:tc>
        <w:tc>
          <w:tcPr>
            <w:tcW w:w="883"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легла в апартаменти</w:t>
            </w:r>
          </w:p>
        </w:tc>
        <w:tc>
          <w:tcPr>
            <w:tcW w:w="725" w:type="dxa"/>
            <w:tcBorders>
              <w:top w:val="single" w:sz="4" w:space="0" w:color="auto"/>
              <w:left w:val="nil"/>
              <w:bottom w:val="single" w:sz="4" w:space="0" w:color="auto"/>
              <w:right w:val="single" w:sz="4" w:space="0" w:color="auto"/>
            </w:tcBorders>
            <w:shd w:val="clear" w:color="auto" w:fill="auto"/>
            <w:textDirection w:val="btLr"/>
            <w:vAlign w:val="bottom"/>
          </w:tcPr>
          <w:p w:rsidR="002F7BF3" w:rsidRPr="002F7BF3" w:rsidRDefault="002F7BF3" w:rsidP="002F7BF3">
            <w:pPr>
              <w:jc w:val="both"/>
              <w:rPr>
                <w:b/>
                <w:bCs/>
              </w:rPr>
            </w:pPr>
            <w:r w:rsidRPr="002F7BF3">
              <w:rPr>
                <w:b/>
                <w:bCs/>
              </w:rPr>
              <w:t>общо легла в парка</w:t>
            </w:r>
          </w:p>
        </w:tc>
      </w:tr>
      <w:tr w:rsidR="002F7BF3" w:rsidRPr="002F7BF3" w:rsidTr="0094515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 xml:space="preserve">гр. Ахтопол </w:t>
            </w:r>
          </w:p>
        </w:tc>
        <w:tc>
          <w:tcPr>
            <w:tcW w:w="70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1428</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438,3</w:t>
            </w:r>
          </w:p>
        </w:tc>
        <w:tc>
          <w:tcPr>
            <w:tcW w:w="83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0,3</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1811</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2249,3</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1,3</w:t>
            </w:r>
          </w:p>
        </w:tc>
        <w:tc>
          <w:tcPr>
            <w:tcW w:w="56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1,6</w:t>
            </w:r>
          </w:p>
        </w:tc>
        <w:tc>
          <w:tcPr>
            <w:tcW w:w="690"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18117</w:t>
            </w:r>
          </w:p>
        </w:tc>
        <w:tc>
          <w:tcPr>
            <w:tcW w:w="687"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11329</w:t>
            </w:r>
          </w:p>
        </w:tc>
        <w:tc>
          <w:tcPr>
            <w:tcW w:w="112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12,68697</w:t>
            </w:r>
          </w:p>
        </w:tc>
        <w:tc>
          <w:tcPr>
            <w:tcW w:w="88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36234</w:t>
            </w:r>
          </w:p>
        </w:tc>
        <w:tc>
          <w:tcPr>
            <w:tcW w:w="725"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47563</w:t>
            </w:r>
          </w:p>
        </w:tc>
      </w:tr>
      <w:tr w:rsidR="002F7BF3" w:rsidRPr="002F7BF3" w:rsidTr="0094515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 xml:space="preserve">с. Варвара </w:t>
            </w:r>
          </w:p>
        </w:tc>
        <w:tc>
          <w:tcPr>
            <w:tcW w:w="70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273</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2787,2</w:t>
            </w:r>
          </w:p>
        </w:tc>
        <w:tc>
          <w:tcPr>
            <w:tcW w:w="83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10,2</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493,5</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3280,7</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1,8</w:t>
            </w:r>
          </w:p>
        </w:tc>
        <w:tc>
          <w:tcPr>
            <w:tcW w:w="56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12,0</w:t>
            </w:r>
          </w:p>
        </w:tc>
        <w:tc>
          <w:tcPr>
            <w:tcW w:w="690"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2554</w:t>
            </w:r>
          </w:p>
        </w:tc>
        <w:tc>
          <w:tcPr>
            <w:tcW w:w="687"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0</w:t>
            </w:r>
          </w:p>
        </w:tc>
        <w:tc>
          <w:tcPr>
            <w:tcW w:w="112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9,355311</w:t>
            </w:r>
          </w:p>
        </w:tc>
        <w:tc>
          <w:tcPr>
            <w:tcW w:w="88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5108</w:t>
            </w:r>
          </w:p>
        </w:tc>
        <w:tc>
          <w:tcPr>
            <w:tcW w:w="725"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5108</w:t>
            </w:r>
          </w:p>
        </w:tc>
      </w:tr>
      <w:tr w:rsidR="002F7BF3" w:rsidRPr="002F7BF3" w:rsidTr="0094515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с. Синеморец</w:t>
            </w:r>
          </w:p>
        </w:tc>
        <w:tc>
          <w:tcPr>
            <w:tcW w:w="70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346</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347,1</w:t>
            </w:r>
          </w:p>
        </w:tc>
        <w:tc>
          <w:tcPr>
            <w:tcW w:w="83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1,0</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618</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965,1</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1,8</w:t>
            </w:r>
          </w:p>
        </w:tc>
        <w:tc>
          <w:tcPr>
            <w:tcW w:w="56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2,8</w:t>
            </w:r>
          </w:p>
        </w:tc>
        <w:tc>
          <w:tcPr>
            <w:tcW w:w="690"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8588</w:t>
            </w:r>
          </w:p>
        </w:tc>
        <w:tc>
          <w:tcPr>
            <w:tcW w:w="687"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1544</w:t>
            </w:r>
          </w:p>
        </w:tc>
        <w:tc>
          <w:tcPr>
            <w:tcW w:w="112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24,82081</w:t>
            </w:r>
          </w:p>
        </w:tc>
        <w:tc>
          <w:tcPr>
            <w:tcW w:w="88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17176</w:t>
            </w:r>
          </w:p>
        </w:tc>
        <w:tc>
          <w:tcPr>
            <w:tcW w:w="725"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18720</w:t>
            </w:r>
          </w:p>
        </w:tc>
      </w:tr>
      <w:tr w:rsidR="002F7BF3" w:rsidRPr="002F7BF3" w:rsidTr="0094515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 xml:space="preserve">с. Резово </w:t>
            </w:r>
          </w:p>
        </w:tc>
        <w:tc>
          <w:tcPr>
            <w:tcW w:w="70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75</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420,8</w:t>
            </w:r>
          </w:p>
        </w:tc>
        <w:tc>
          <w:tcPr>
            <w:tcW w:w="83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5,6</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214</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634,8</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2,9</w:t>
            </w:r>
          </w:p>
        </w:tc>
        <w:tc>
          <w:tcPr>
            <w:tcW w:w="56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8,5</w:t>
            </w:r>
          </w:p>
        </w:tc>
        <w:tc>
          <w:tcPr>
            <w:tcW w:w="690"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3789</w:t>
            </w:r>
          </w:p>
        </w:tc>
        <w:tc>
          <w:tcPr>
            <w:tcW w:w="687"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1747</w:t>
            </w:r>
          </w:p>
        </w:tc>
        <w:tc>
          <w:tcPr>
            <w:tcW w:w="112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50,52</w:t>
            </w:r>
          </w:p>
        </w:tc>
        <w:tc>
          <w:tcPr>
            <w:tcW w:w="88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7578</w:t>
            </w:r>
          </w:p>
        </w:tc>
        <w:tc>
          <w:tcPr>
            <w:tcW w:w="725"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9325</w:t>
            </w:r>
          </w:p>
        </w:tc>
      </w:tr>
      <w:tr w:rsidR="002F7BF3" w:rsidRPr="002F7BF3" w:rsidTr="0094515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с. Кости</w:t>
            </w:r>
          </w:p>
        </w:tc>
        <w:tc>
          <w:tcPr>
            <w:tcW w:w="70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338</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239,2</w:t>
            </w:r>
          </w:p>
        </w:tc>
        <w:tc>
          <w:tcPr>
            <w:tcW w:w="83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0,7</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540</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779,2</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1,6</w:t>
            </w:r>
          </w:p>
        </w:tc>
        <w:tc>
          <w:tcPr>
            <w:tcW w:w="56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2,3</w:t>
            </w:r>
          </w:p>
        </w:tc>
        <w:tc>
          <w:tcPr>
            <w:tcW w:w="690"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2869</w:t>
            </w:r>
          </w:p>
        </w:tc>
        <w:tc>
          <w:tcPr>
            <w:tcW w:w="687"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0</w:t>
            </w:r>
          </w:p>
        </w:tc>
        <w:tc>
          <w:tcPr>
            <w:tcW w:w="112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8,488166</w:t>
            </w:r>
          </w:p>
        </w:tc>
        <w:tc>
          <w:tcPr>
            <w:tcW w:w="88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5738</w:t>
            </w:r>
          </w:p>
        </w:tc>
        <w:tc>
          <w:tcPr>
            <w:tcW w:w="725"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5738</w:t>
            </w:r>
          </w:p>
        </w:tc>
      </w:tr>
      <w:tr w:rsidR="002F7BF3" w:rsidRPr="002F7BF3" w:rsidTr="0094515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 xml:space="preserve"> с. Българи</w:t>
            </w:r>
          </w:p>
        </w:tc>
        <w:tc>
          <w:tcPr>
            <w:tcW w:w="70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122</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291</w:t>
            </w:r>
          </w:p>
        </w:tc>
        <w:tc>
          <w:tcPr>
            <w:tcW w:w="83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2,4</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216</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507</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1,8</w:t>
            </w:r>
          </w:p>
        </w:tc>
        <w:tc>
          <w:tcPr>
            <w:tcW w:w="56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4,2</w:t>
            </w:r>
          </w:p>
        </w:tc>
        <w:tc>
          <w:tcPr>
            <w:tcW w:w="690"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2394</w:t>
            </w:r>
          </w:p>
        </w:tc>
        <w:tc>
          <w:tcPr>
            <w:tcW w:w="687"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388</w:t>
            </w:r>
          </w:p>
        </w:tc>
        <w:tc>
          <w:tcPr>
            <w:tcW w:w="112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19,62295</w:t>
            </w:r>
          </w:p>
        </w:tc>
        <w:tc>
          <w:tcPr>
            <w:tcW w:w="88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4788</w:t>
            </w:r>
          </w:p>
        </w:tc>
        <w:tc>
          <w:tcPr>
            <w:tcW w:w="725"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5176</w:t>
            </w:r>
          </w:p>
        </w:tc>
      </w:tr>
      <w:tr w:rsidR="002F7BF3" w:rsidRPr="002F7BF3" w:rsidTr="0094515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с. Бродилово</w:t>
            </w:r>
          </w:p>
        </w:tc>
        <w:tc>
          <w:tcPr>
            <w:tcW w:w="70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346</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237,2</w:t>
            </w:r>
          </w:p>
        </w:tc>
        <w:tc>
          <w:tcPr>
            <w:tcW w:w="83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0,7</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424,5</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661,7</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1,2</w:t>
            </w:r>
          </w:p>
        </w:tc>
        <w:tc>
          <w:tcPr>
            <w:tcW w:w="56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1,9</w:t>
            </w:r>
          </w:p>
        </w:tc>
        <w:tc>
          <w:tcPr>
            <w:tcW w:w="690"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2451</w:t>
            </w:r>
          </w:p>
        </w:tc>
        <w:tc>
          <w:tcPr>
            <w:tcW w:w="687"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0</w:t>
            </w:r>
          </w:p>
        </w:tc>
        <w:tc>
          <w:tcPr>
            <w:tcW w:w="112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7,083815</w:t>
            </w:r>
          </w:p>
        </w:tc>
        <w:tc>
          <w:tcPr>
            <w:tcW w:w="88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4902</w:t>
            </w:r>
          </w:p>
        </w:tc>
        <w:tc>
          <w:tcPr>
            <w:tcW w:w="725"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4902</w:t>
            </w:r>
          </w:p>
        </w:tc>
      </w:tr>
      <w:tr w:rsidR="002F7BF3" w:rsidRPr="002F7BF3" w:rsidTr="0094515B">
        <w:trPr>
          <w:trHeight w:val="315"/>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с. Кондолово</w:t>
            </w:r>
          </w:p>
        </w:tc>
        <w:tc>
          <w:tcPr>
            <w:tcW w:w="70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25</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137,4</w:t>
            </w:r>
          </w:p>
        </w:tc>
        <w:tc>
          <w:tcPr>
            <w:tcW w:w="83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5,5</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102,8</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240,2</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4,1</w:t>
            </w:r>
          </w:p>
        </w:tc>
        <w:tc>
          <w:tcPr>
            <w:tcW w:w="56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9,6</w:t>
            </w:r>
          </w:p>
        </w:tc>
        <w:tc>
          <w:tcPr>
            <w:tcW w:w="690"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1215</w:t>
            </w:r>
          </w:p>
        </w:tc>
        <w:tc>
          <w:tcPr>
            <w:tcW w:w="687"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0</w:t>
            </w:r>
          </w:p>
        </w:tc>
        <w:tc>
          <w:tcPr>
            <w:tcW w:w="112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48,6</w:t>
            </w:r>
          </w:p>
        </w:tc>
        <w:tc>
          <w:tcPr>
            <w:tcW w:w="88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2430</w:t>
            </w:r>
          </w:p>
        </w:tc>
        <w:tc>
          <w:tcPr>
            <w:tcW w:w="725"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2430</w:t>
            </w:r>
          </w:p>
        </w:tc>
      </w:tr>
      <w:tr w:rsidR="002F7BF3" w:rsidRPr="002F7BF3" w:rsidTr="0094515B">
        <w:trPr>
          <w:trHeight w:val="255"/>
        </w:trPr>
        <w:tc>
          <w:tcPr>
            <w:tcW w:w="1277" w:type="dxa"/>
            <w:tcBorders>
              <w:top w:val="nil"/>
              <w:left w:val="single" w:sz="4" w:space="0" w:color="auto"/>
              <w:bottom w:val="single" w:sz="4" w:space="0" w:color="auto"/>
              <w:right w:val="single" w:sz="4" w:space="0" w:color="auto"/>
            </w:tcBorders>
            <w:shd w:val="clear" w:color="auto" w:fill="auto"/>
            <w:noWrap/>
            <w:vAlign w:val="bottom"/>
          </w:tcPr>
          <w:p w:rsidR="002F7BF3" w:rsidRPr="002F7BF3" w:rsidRDefault="002F7BF3" w:rsidP="002F7BF3">
            <w:pPr>
              <w:jc w:val="both"/>
            </w:pPr>
            <w:r w:rsidRPr="002F7BF3">
              <w:t> </w:t>
            </w:r>
          </w:p>
        </w:tc>
        <w:tc>
          <w:tcPr>
            <w:tcW w:w="70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2953</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4898,2</w:t>
            </w:r>
          </w:p>
        </w:tc>
        <w:tc>
          <w:tcPr>
            <w:tcW w:w="83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1,7</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4419,8</w:t>
            </w:r>
          </w:p>
        </w:tc>
        <w:tc>
          <w:tcPr>
            <w:tcW w:w="851"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9318</w:t>
            </w:r>
          </w:p>
        </w:tc>
        <w:tc>
          <w:tcPr>
            <w:tcW w:w="726"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1,5</w:t>
            </w:r>
          </w:p>
        </w:tc>
        <w:tc>
          <w:tcPr>
            <w:tcW w:w="568"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3,2</w:t>
            </w:r>
          </w:p>
        </w:tc>
        <w:tc>
          <w:tcPr>
            <w:tcW w:w="690"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41977</w:t>
            </w:r>
          </w:p>
        </w:tc>
        <w:tc>
          <w:tcPr>
            <w:tcW w:w="687"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15008</w:t>
            </w:r>
          </w:p>
        </w:tc>
        <w:tc>
          <w:tcPr>
            <w:tcW w:w="112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14,21504</w:t>
            </w:r>
          </w:p>
        </w:tc>
        <w:tc>
          <w:tcPr>
            <w:tcW w:w="883"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83954</w:t>
            </w:r>
          </w:p>
        </w:tc>
        <w:tc>
          <w:tcPr>
            <w:tcW w:w="725" w:type="dxa"/>
            <w:tcBorders>
              <w:top w:val="nil"/>
              <w:left w:val="nil"/>
              <w:bottom w:val="single" w:sz="4" w:space="0" w:color="auto"/>
              <w:right w:val="single" w:sz="4" w:space="0" w:color="auto"/>
            </w:tcBorders>
            <w:shd w:val="clear" w:color="auto" w:fill="auto"/>
            <w:noWrap/>
            <w:vAlign w:val="bottom"/>
          </w:tcPr>
          <w:p w:rsidR="002F7BF3" w:rsidRPr="002F7BF3" w:rsidRDefault="002F7BF3" w:rsidP="002F7BF3">
            <w:pPr>
              <w:jc w:val="both"/>
              <w:rPr>
                <w:b/>
                <w:bCs/>
              </w:rPr>
            </w:pPr>
            <w:r w:rsidRPr="002F7BF3">
              <w:rPr>
                <w:b/>
                <w:bCs/>
              </w:rPr>
              <w:t>98962</w:t>
            </w:r>
          </w:p>
        </w:tc>
      </w:tr>
    </w:tbl>
    <w:p w:rsidR="002F7BF3" w:rsidRPr="002F7BF3" w:rsidRDefault="002F7BF3" w:rsidP="002F7BF3">
      <w:pPr>
        <w:jc w:val="both"/>
      </w:pPr>
    </w:p>
    <w:p w:rsidR="002F7BF3" w:rsidRPr="002F7BF3" w:rsidRDefault="002F7BF3" w:rsidP="002F7BF3">
      <w:pPr>
        <w:jc w:val="both"/>
      </w:pPr>
      <w:r w:rsidRPr="002F7BF3">
        <w:t>ОУП на община Царево се изработва без да има приета специализирана устройствена схема за територията на Черноморското крайбрежие, както се изисква по Закона за устройство на Черноморското крайбрежие. Не съществува също така изискваната по закона наредба за пределно допустимите рекреационни капацитети на курортните населени места и селищни образувания, курортите, курортните комплекси, ваканционните селища и вилните зони.</w:t>
      </w:r>
    </w:p>
    <w:p w:rsidR="002F7BF3" w:rsidRPr="002F7BF3" w:rsidRDefault="002F7BF3" w:rsidP="002F7BF3">
      <w:pPr>
        <w:jc w:val="both"/>
      </w:pPr>
      <w:r w:rsidRPr="002F7BF3">
        <w:t xml:space="preserve">Община Царево е единствената Черноморска община, която отбеляза ръст на туристите през 2007 година. Това се дължи на все още запазената природа на парк Странджа. Ако устройственият план се приеме в този му вид, това ще компрометира завинаги развитието на туризма за сметка на спекулативните интереси на икономическите групировки. </w:t>
      </w:r>
    </w:p>
    <w:p w:rsidR="002F7BF3" w:rsidRPr="002F7BF3" w:rsidRDefault="002F7BF3" w:rsidP="002F7BF3">
      <w:pPr>
        <w:jc w:val="both"/>
      </w:pPr>
      <w:r w:rsidRPr="002F7BF3">
        <w:t>Съгласно Екологичната оценка на ОУП на община Царево при реализацията на плана се предвижда значително отрицателно въздействие върху целостта на защитените зони от Натура 2000, като над 25 % от крайбрежните местообитания ще бъдат засегнати от урбанизацията - шест местообитания от Прил. I на Директива 92/43/ЕО (вкл. дюни в местообитания 2110, 2120 и *2130),  и местообитанията на 20 вида от Прил. II на същата. Съгласно Екологичната оценка се очаква и унищожаване местообитанията за гнездене и територии за почивка на птици по миграционен маршрут Via Pontica.</w:t>
      </w:r>
    </w:p>
    <w:p w:rsidR="002F7BF3" w:rsidRPr="002F7BF3" w:rsidRDefault="002F7BF3" w:rsidP="002F7BF3">
      <w:pPr>
        <w:jc w:val="both"/>
        <w:rPr>
          <w:rStyle w:val="IntenseEmphasis"/>
        </w:rPr>
      </w:pPr>
      <w:r w:rsidRPr="002F7BF3">
        <w:lastRenderedPageBreak/>
        <w:t xml:space="preserve">Непосредствената опасност от увреждането на ПП "Странджа" и защитените зони от Натура 2000 в обхвата на ОУП произтича от факта, че кмета на Община Царево заявява публично, че въпреки липсата на Екологична оценка на плана, Общината ще започне да одобрява Подробни устройствени планове в обхвата на ОУП, като разчита екологичната оценка на тези ПУП да се извършва от РИОСВ Бургас. Съгласно ЗООС и ЗБР тези оценки трябва да включват оценка на кумулативния ефект върху околната среда и биологичното разнообразие на всеки план във взаимодействие с всички други проекти и планове в района. Такава кумулативна оценка бе именно предмет на Екологичната оценка направена при изготвянето на ОУП през 2008 г. Това означава, че е невъзможно отделни ПУП в рамките на ОУП да бъдат подложени на качествени екологични оценки, докато не бъде изготвена нова цялостна Екологична оценка на ОУП. Това е и причината за приемането на </w:t>
      </w:r>
      <w:r w:rsidRPr="002F7BF3">
        <w:rPr>
          <w:bCs/>
        </w:rPr>
        <w:t>Директива</w:t>
      </w:r>
      <w:r w:rsidRPr="002F7BF3">
        <w:rPr>
          <w:b/>
        </w:rPr>
        <w:t xml:space="preserve"> </w:t>
      </w:r>
      <w:r w:rsidRPr="002F7BF3">
        <w:t>2001/42/EC за</w:t>
      </w:r>
      <w:r w:rsidRPr="002F7BF3">
        <w:rPr>
          <w:b/>
        </w:rPr>
        <w:t xml:space="preserve"> </w:t>
      </w:r>
      <w:r w:rsidRPr="002F7BF3">
        <w:rPr>
          <w:bCs/>
        </w:rPr>
        <w:t>стратегическата</w:t>
      </w:r>
      <w:r w:rsidRPr="002F7BF3">
        <w:rPr>
          <w:b/>
        </w:rPr>
        <w:t xml:space="preserve"> </w:t>
      </w:r>
      <w:r w:rsidRPr="002F7BF3">
        <w:t xml:space="preserve">екологична </w:t>
      </w:r>
      <w:r w:rsidRPr="002F7BF3">
        <w:rPr>
          <w:bCs/>
        </w:rPr>
        <w:t>оценка</w:t>
      </w:r>
      <w:r w:rsidRPr="002F7BF3">
        <w:rPr>
          <w:b/>
        </w:rPr>
        <w:t>,</w:t>
      </w:r>
      <w:r w:rsidRPr="002F7BF3">
        <w:t xml:space="preserve"> транспонирана в глава шест на ЗООС, която изисква устройството на локално ниво да е предшествано от планиране на стратегическо ниво и предварителна екологична оценка на с</w:t>
      </w:r>
      <w:r w:rsidR="00480290">
        <w:t>тратегическия план (в случая ОУП).</w:t>
      </w:r>
    </w:p>
    <w:p w:rsidR="002F7BF3" w:rsidRPr="00480290" w:rsidRDefault="00F16D7B" w:rsidP="002F7BF3">
      <w:pPr>
        <w:jc w:val="both"/>
        <w:rPr>
          <w:b/>
          <w:bCs/>
          <w:i/>
          <w:iCs/>
          <w:color w:val="4F81BD" w:themeColor="accent1"/>
        </w:rPr>
      </w:pPr>
      <w:r w:rsidRPr="00480290">
        <w:rPr>
          <w:rStyle w:val="IntenseEmphasis"/>
          <w:i w:val="0"/>
        </w:rPr>
        <w:t xml:space="preserve">5. </w:t>
      </w:r>
      <w:r w:rsidRPr="00480290">
        <w:rPr>
          <w:rStyle w:val="IntenseEmphasis"/>
          <w:i w:val="0"/>
          <w:lang w:val="en-US"/>
        </w:rPr>
        <w:t>Ключови закононарушение и н</w:t>
      </w:r>
      <w:r w:rsidRPr="00480290">
        <w:rPr>
          <w:rStyle w:val="IntenseEmphasis"/>
          <w:i w:val="0"/>
          <w:lang w:val="en-US"/>
        </w:rPr>
        <w:t>аказателни процедури</w:t>
      </w:r>
    </w:p>
    <w:p w:rsidR="002F7BF3" w:rsidRPr="002F7BF3" w:rsidRDefault="002F7BF3" w:rsidP="002F7BF3">
      <w:pPr>
        <w:jc w:val="both"/>
      </w:pPr>
      <w:r w:rsidRPr="002F7BF3">
        <w:t xml:space="preserve">След шестгодишни съдебни спорове и обрати по делото срещу застрояването на Природен парк "Странджа", с Решение № 543 от 15.01.2014 г. Върховният административен съд допуска влизането в сила на Общия устройствен план на Община Царево (ОУП) въпреки факта, че плана е приет без Екологична оценка, която да гарантира защитата на Природен парк Странджа и защитените зони от европейската екологична мрежа Натура 2000 в община Царево. В резултат на този правен абсурд, прилагането на ОУП е в пряко нарушение на чл. 85, ал. 1 от ЗООС, чл. 31 от ЗБР, Директива 2001/42/EC и Директива 92/43/ЕС, което създава реална опасност от повторно отваряне на наказателна процедура 2009/4424 на ЕК. </w:t>
      </w:r>
    </w:p>
    <w:p w:rsidR="002F7BF3" w:rsidRPr="002F7BF3" w:rsidRDefault="002F7BF3" w:rsidP="002F7BF3">
      <w:pPr>
        <w:jc w:val="both"/>
      </w:pPr>
      <w:r w:rsidRPr="002F7BF3">
        <w:t xml:space="preserve">Общият устройствен план на Община Царево е одобрен със Заповед № РД-02-14-776/13.08.2008 г. на МРРБ и въз основа на Становище по екологична оценка №1-2/2008 г. на МОСВ. Съгласно Решение № 6808 от 25.05.2010 г. на ВАС по адм. дело № 3673/2010, Становището по екологична оценка №1-2/2008 г. на МОСВ е оттеглено в хода на делото, което е равнозначно на липса на Становище и представлява особено съществено нарушение на процедурата по одобряване на ОУП. </w:t>
      </w:r>
    </w:p>
    <w:p w:rsidR="002F7BF3" w:rsidRPr="002F7BF3" w:rsidRDefault="002F7BF3" w:rsidP="002F7BF3">
      <w:pPr>
        <w:jc w:val="both"/>
      </w:pPr>
      <w:r w:rsidRPr="002F7BF3">
        <w:t>Липсата на Становище води и до материалноправна незаконосъобразност, изразяваща се в одобряване на ОУП без да е налице съществена част от съдържанието му, а именно Екологична оценка за съвместимост в нарушение на чл.19, ал.5, изр.2 от ЗУЧК, както и на чл.125, ал.6, изр.2 от ЗУТ в приложимата редакция. Това е довело и до противоречие с целта на закона.</w:t>
      </w:r>
    </w:p>
    <w:p w:rsidR="002F7BF3" w:rsidRPr="002F7BF3" w:rsidRDefault="002F7BF3" w:rsidP="002F7BF3">
      <w:pPr>
        <w:jc w:val="both"/>
      </w:pPr>
      <w:r w:rsidRPr="002F7BF3">
        <w:t>Интересен е казусът с твърденията на заместник министър на МОСВ  Чавдар Георгиев, че екологичната оценка на общия устройствен план на община Царево е била оттеглена от МОСВ през 2010 г., но това не означава, че е отменена. Но съгласно чл. 156 (1) от Административно-процесуалния кодекс, ако едно становище е оттеглено, то престава да съществува. Становището по екологична оценка е оттеглено от екоминистерството в производство 3673/2010 на ВАС. Цитат от делото:</w:t>
      </w:r>
      <w:r w:rsidRPr="002F7BF3">
        <w:rPr>
          <w:b/>
        </w:rPr>
        <w:t xml:space="preserve"> </w:t>
      </w:r>
      <w:r w:rsidRPr="002F7BF3">
        <w:rPr>
          <w:i/>
        </w:rPr>
        <w:t>"По делото е установено, че на основание чл. 156 от АПК министърът на околната среда и водите е оттеглил в първоинстанционното производство издадения от него индивидуален административен акт ( вж. Определение № 10129 / 28.07.2009 г. по адм. дело № 9127 / 2009 г. на Върховния административен съд, петчленен състав) – Становище № 1 – 2 / 2008 г. по екологична оценка на изменение на общия устройствен план на Община Царево."</w:t>
      </w:r>
    </w:p>
    <w:p w:rsidR="002F7BF3" w:rsidRPr="002F7BF3" w:rsidRDefault="002F7BF3" w:rsidP="002F7BF3">
      <w:pPr>
        <w:jc w:val="both"/>
        <w:rPr>
          <w:b/>
          <w:bCs/>
        </w:rPr>
      </w:pPr>
      <w:r w:rsidRPr="002F7BF3">
        <w:rPr>
          <w:b/>
          <w:bCs/>
        </w:rPr>
        <w:t xml:space="preserve">Запитването от страна на ЕК за казуса ОУП Царево е направено по проекта " EU Pilot", което е първия етап преди да се започне процедура за нарушение, ​с цел да провери дали </w:t>
      </w:r>
      <w:r w:rsidRPr="002F7BF3">
        <w:rPr>
          <w:b/>
          <w:bCs/>
        </w:rPr>
        <w:lastRenderedPageBreak/>
        <w:t xml:space="preserve">регламентацията на европейския съюз, свързана със защитата на природата, с екологичната оценка и с оценката на съвместимост е спазена. </w:t>
      </w:r>
      <w:r w:rsidRPr="002F7BF3">
        <w:t>ЕК е поискала информация и цялата юридическа регламентация, свързана с този конкретен случай (бел. на автора - ОУП Царево) (Министерството на околната среда).</w:t>
      </w:r>
      <w:r w:rsidRPr="002F7BF3">
        <w:rPr>
          <w:b/>
          <w:bCs/>
        </w:rPr>
        <w:t>Опита да се избегнат наказателни процедури, от страна на ЕК срещу България, обяснява защо двете министърки Терзиева и Михайлова спират действието на ОУП на Царево.</w:t>
      </w:r>
    </w:p>
    <w:p w:rsidR="002F7BF3" w:rsidRPr="002F7BF3" w:rsidRDefault="002F7BF3" w:rsidP="002F7BF3">
      <w:pPr>
        <w:jc w:val="both"/>
      </w:pPr>
      <w:r w:rsidRPr="002F7BF3">
        <w:t>Ако не бъде отменен ОУП на ОЦ, същите абсурди могат да бъдат допуснати и във всички останали общини с морски и планински курорти. Тезата на екоминистерството, че отделните подробни устройствени планове по общия устройствен план ще бъдат проверявани един по един, преди да бъдат утвърдени, е напълно несъстоятелна, защото ако ги има предвидени по ОУП никой не може да ги спре и ще се създадат условия за корупция.</w:t>
      </w:r>
    </w:p>
    <w:p w:rsidR="00076FD5" w:rsidRPr="00480290" w:rsidRDefault="00F16D7B" w:rsidP="002F7BF3">
      <w:pPr>
        <w:jc w:val="both"/>
        <w:rPr>
          <w:rStyle w:val="IntenseEmphasis"/>
          <w:i w:val="0"/>
        </w:rPr>
      </w:pPr>
      <w:r w:rsidRPr="00480290">
        <w:rPr>
          <w:rStyle w:val="IntenseEmphasis"/>
          <w:i w:val="0"/>
        </w:rPr>
        <w:t xml:space="preserve">6. </w:t>
      </w:r>
      <w:r w:rsidRPr="00480290">
        <w:rPr>
          <w:rStyle w:val="IntenseEmphasis"/>
          <w:i w:val="0"/>
        </w:rPr>
        <w:t>Подробно описание на случая</w:t>
      </w:r>
    </w:p>
    <w:p w:rsidR="002F7BF3" w:rsidRPr="002F7BF3" w:rsidRDefault="002F7BF3" w:rsidP="002F7BF3">
      <w:pPr>
        <w:jc w:val="both"/>
      </w:pPr>
      <w:r w:rsidRPr="002F7BF3">
        <w:rPr>
          <w:b/>
          <w:bCs/>
          <w:i/>
          <w:iCs/>
        </w:rPr>
        <w:t xml:space="preserve">2008 г. - </w:t>
      </w:r>
      <w:r w:rsidRPr="002F7BF3">
        <w:rPr>
          <w:b/>
          <w:bCs/>
          <w:iCs/>
        </w:rPr>
        <w:t>изработен / влязал в сила ОУП на община Царево</w:t>
      </w:r>
    </w:p>
    <w:p w:rsidR="002F7BF3" w:rsidRPr="002F7BF3" w:rsidRDefault="002F7BF3" w:rsidP="002F7BF3">
      <w:pPr>
        <w:jc w:val="both"/>
      </w:pPr>
      <w:r w:rsidRPr="002F7BF3">
        <w:t xml:space="preserve">Екологичната оценка е определена като </w:t>
      </w:r>
      <w:r w:rsidRPr="002F7BF3">
        <w:rPr>
          <w:b/>
          <w:bCs/>
        </w:rPr>
        <w:t>"скандална"</w:t>
      </w:r>
      <w:r w:rsidRPr="002F7BF3">
        <w:t xml:space="preserve"> от природозащитни организации. Следва силно обществено недоволство. </w:t>
      </w:r>
      <w:r w:rsidRPr="002F7BF3">
        <w:rPr>
          <w:b/>
          <w:bCs/>
          <w:i/>
          <w:iCs/>
        </w:rPr>
        <w:t>Европейската Комисия,</w:t>
      </w:r>
      <w:r w:rsidRPr="002F7BF3">
        <w:t xml:space="preserve"> сезирана от природозащитните организации, заплашва България със санкции.</w:t>
      </w:r>
    </w:p>
    <w:p w:rsidR="002F7BF3" w:rsidRPr="002F7BF3" w:rsidRDefault="002F7BF3" w:rsidP="002F7BF3">
      <w:pPr>
        <w:jc w:val="both"/>
      </w:pPr>
      <w:r w:rsidRPr="002F7BF3">
        <w:rPr>
          <w:b/>
        </w:rPr>
        <w:t>2 април 2008 г. -</w:t>
      </w:r>
      <w:r w:rsidRPr="002F7BF3">
        <w:t xml:space="preserve"> Висшият експертен екологичен съвет на Министерство на околната среда и водите разглежда Екологичната оценка на Общия устройствен план (ОУП) на община Царево. </w:t>
      </w:r>
      <w:r w:rsidRPr="002F7BF3">
        <w:rPr>
          <w:b/>
        </w:rPr>
        <w:t>Въпреки многобройните негативни становища, които са внесени, становището на МОСВ е положително.</w:t>
      </w:r>
      <w:r w:rsidRPr="002F7BF3">
        <w:t xml:space="preserve"> То е нарушение и на Европейската директива за природните местообитания, тъй като информацията в Доклада за Оценка за съвместимост е непълна, тенденциозна и недостоверна и няма адекватна оценка на въздействието на ОУП-а върху видовете и местообитанията от Натура 2000 място Странджа. </w:t>
      </w:r>
    </w:p>
    <w:p w:rsidR="002F7BF3" w:rsidRPr="002F7BF3" w:rsidRDefault="002F7BF3" w:rsidP="002F7BF3">
      <w:pPr>
        <w:jc w:val="both"/>
      </w:pPr>
      <w:r w:rsidRPr="002F7BF3">
        <w:rPr>
          <w:b/>
          <w:iCs/>
        </w:rPr>
        <w:t>юли 2008</w:t>
      </w:r>
      <w:r w:rsidRPr="002F7BF3">
        <w:rPr>
          <w:iCs/>
        </w:rPr>
        <w:t xml:space="preserve"> - Междуведомствената комисия към Висшия експертен съвет на МОСВ одобрява докладите по екологична оценка на общия устройствен план (ОУП) на община Царево.</w:t>
      </w:r>
    </w:p>
    <w:p w:rsidR="002F7BF3" w:rsidRPr="002F7BF3" w:rsidRDefault="002F7BF3" w:rsidP="002F7BF3">
      <w:pPr>
        <w:numPr>
          <w:ilvl w:val="0"/>
          <w:numId w:val="43"/>
        </w:numPr>
        <w:jc w:val="both"/>
      </w:pPr>
      <w:r w:rsidRPr="002F7BF3">
        <w:t xml:space="preserve">Нито една урбанизирана зона, предложена в плана не е отпаднала, въпреки препоръката на експерта по фауна за 30%-но намаляване на планираната урбанизация. Националната служба за защита на природата не взема отношение по въпроса каква е разликата между одобрения сега ОУП и предложения за гласуване преди седмица план. </w:t>
      </w:r>
    </w:p>
    <w:p w:rsidR="002F7BF3" w:rsidRPr="002F7BF3" w:rsidRDefault="002F7BF3" w:rsidP="002F7BF3">
      <w:pPr>
        <w:numPr>
          <w:ilvl w:val="0"/>
          <w:numId w:val="43"/>
        </w:numPr>
        <w:jc w:val="both"/>
      </w:pPr>
      <w:r w:rsidRPr="002F7BF3">
        <w:t xml:space="preserve">По отношение площ на застрояването единственото ограничение е забраната за строеж на 150 метра от двете страни на големи реки. Това по никакъв начин не решава проблема на видовете, обитаващи местата около реките, както и с находища в малки реки извън посочените в ОУП. Например две от находищата на каспийска костенурка са в малки реки, и при липса на ограничение ще бъдат унищожени. </w:t>
      </w:r>
    </w:p>
    <w:p w:rsidR="002F7BF3" w:rsidRPr="002F7BF3" w:rsidRDefault="002F7BF3" w:rsidP="002F7BF3">
      <w:pPr>
        <w:numPr>
          <w:ilvl w:val="0"/>
          <w:numId w:val="43"/>
        </w:numPr>
        <w:jc w:val="both"/>
      </w:pPr>
      <w:r w:rsidRPr="002F7BF3">
        <w:t xml:space="preserve">Препоръчани са мерки за намаляване на етажност и плътност, което намалява само косвените въздействия, но не и прякото унищожаване на местообитания. </w:t>
      </w:r>
    </w:p>
    <w:p w:rsidR="002F7BF3" w:rsidRPr="002F7BF3" w:rsidRDefault="002F7BF3" w:rsidP="002F7BF3">
      <w:pPr>
        <w:numPr>
          <w:ilvl w:val="0"/>
          <w:numId w:val="43"/>
        </w:numPr>
        <w:jc w:val="both"/>
      </w:pPr>
      <w:r w:rsidRPr="002F7BF3">
        <w:t>Голф игрището край Варвара в Природен парк Странджа не отпадат. Препоръчано е да не се унищожава естествената дървесно-храстова растителност и да не се използват силни хербициди и пестициди. Според Министър Чавдар Георгиев построяването на голф игрище означа, че в дадена територия няма застрояване, в смисъл унищожаване на територии.</w:t>
      </w:r>
    </w:p>
    <w:p w:rsidR="002F7BF3" w:rsidRPr="002F7BF3" w:rsidRDefault="002F7BF3" w:rsidP="002F7BF3">
      <w:pPr>
        <w:jc w:val="both"/>
      </w:pPr>
      <w:r w:rsidRPr="002F7BF3">
        <w:lastRenderedPageBreak/>
        <w:t xml:space="preserve">Всички членове на експертния съвет гласуват ЗА одобрение на докладите. Против е гласувал само единственият представител на Природен парк Странджа. Всички експерти от МОСВ, за които е било ясно, че не са съгласни с докладите, са били предварително отстранени от състава на експертния съвет. Водещите пресконференцията не дават възможност на представителя на Природен парк Странджа да посочи причините за позицията на Парка. </w:t>
      </w:r>
    </w:p>
    <w:p w:rsidR="002F7BF3" w:rsidRPr="002F7BF3" w:rsidRDefault="002F7BF3" w:rsidP="002F7BF3">
      <w:pPr>
        <w:jc w:val="both"/>
      </w:pPr>
      <w:r w:rsidRPr="002F7BF3">
        <w:rPr>
          <w:b/>
          <w:bCs/>
        </w:rPr>
        <w:t xml:space="preserve">2009 г. - </w:t>
      </w:r>
      <w:r w:rsidRPr="002F7BF3">
        <w:rPr>
          <w:bCs/>
        </w:rPr>
        <w:t>Министър на околната среда и водите Нона Караджова</w:t>
      </w:r>
      <w:r w:rsidRPr="002F7BF3">
        <w:rPr>
          <w:b/>
          <w:bCs/>
        </w:rPr>
        <w:t xml:space="preserve"> </w:t>
      </w:r>
      <w:r w:rsidRPr="002F7BF3">
        <w:t xml:space="preserve">изтегля Екологичната оценка, с мотива, че не е зачетено мнението на един от експертите и че ще пострадат 25 % от местообитанията край морето. </w:t>
      </w:r>
    </w:p>
    <w:p w:rsidR="002F7BF3" w:rsidRPr="002F7BF3" w:rsidRDefault="002F7BF3" w:rsidP="002F7BF3">
      <w:pPr>
        <w:jc w:val="both"/>
      </w:pPr>
      <w:r w:rsidRPr="002F7BF3">
        <w:rPr>
          <w:b/>
        </w:rPr>
        <w:t>октомври 2009</w:t>
      </w:r>
      <w:r w:rsidRPr="002F7BF3">
        <w:t xml:space="preserve"> г. Европейската комисия открива наказателна процедура срещу България за </w:t>
      </w:r>
      <w:r w:rsidRPr="002F7BF3">
        <w:rPr>
          <w:b/>
          <w:bCs/>
        </w:rPr>
        <w:t>нарушения в процедурите за екологичната оценка на плана на Царево</w:t>
      </w:r>
      <w:r w:rsidRPr="002F7BF3">
        <w:br/>
        <w:t>и за оценката му за съвместимост с "Натура 2000.</w:t>
      </w:r>
    </w:p>
    <w:p w:rsidR="002F7BF3" w:rsidRPr="002F7BF3" w:rsidRDefault="002F7BF3" w:rsidP="002F7BF3">
      <w:pPr>
        <w:jc w:val="both"/>
        <w:rPr>
          <w:b/>
          <w:bCs/>
        </w:rPr>
      </w:pPr>
      <w:r w:rsidRPr="002F7BF3">
        <w:rPr>
          <w:b/>
          <w:bCs/>
        </w:rPr>
        <w:t>05.07.2013 г. - Тричленен състав на ВАС отменя ОУП на Царево</w:t>
      </w:r>
    </w:p>
    <w:p w:rsidR="002F7BF3" w:rsidRPr="002F7BF3" w:rsidRDefault="002F7BF3" w:rsidP="002F7BF3">
      <w:pPr>
        <w:jc w:val="both"/>
      </w:pPr>
      <w:r w:rsidRPr="002F7BF3">
        <w:rPr>
          <w:b/>
          <w:bCs/>
        </w:rPr>
        <w:t>юли 2013 г. Народното Събрание взима решение за създаване на "Национален Парк Българско Черноморие"</w:t>
      </w:r>
      <w:r w:rsidRPr="002F7BF3">
        <w:t xml:space="preserve"> – определя срок, проекти, картографиране, субсидии и финансиране на изпълнителите.</w:t>
      </w:r>
    </w:p>
    <w:p w:rsidR="002F7BF3" w:rsidRPr="002F7BF3" w:rsidRDefault="002F7BF3" w:rsidP="002F7BF3">
      <w:pPr>
        <w:jc w:val="both"/>
      </w:pPr>
      <w:r w:rsidRPr="002F7BF3">
        <w:rPr>
          <w:b/>
          <w:bCs/>
        </w:rPr>
        <w:t>15.01.2014 г</w:t>
      </w:r>
      <w:r w:rsidRPr="002F7BF3">
        <w:t xml:space="preserve">. - </w:t>
      </w:r>
      <w:r w:rsidRPr="002F7BF3">
        <w:rPr>
          <w:b/>
          <w:bCs/>
        </w:rPr>
        <w:t xml:space="preserve">Петчленен състав на ВАС одобрява ОУП на Царево и той отново влиза в сила. </w:t>
      </w:r>
      <w:r w:rsidRPr="002F7BF3">
        <w:t>Следват обществени протести, провокирани и организирани от природозащитни организации в София, Бургас, Пловдив, Русе и др.</w:t>
      </w:r>
    </w:p>
    <w:p w:rsidR="002F7BF3" w:rsidRPr="002F7BF3" w:rsidRDefault="002F7BF3" w:rsidP="002F7BF3">
      <w:pPr>
        <w:jc w:val="both"/>
      </w:pPr>
      <w:r w:rsidRPr="002F7BF3">
        <w:rPr>
          <w:b/>
          <w:bCs/>
        </w:rPr>
        <w:t>30.01.2014 г.</w:t>
      </w:r>
      <w:r w:rsidRPr="002F7BF3">
        <w:t xml:space="preserve"> - Българският евродепутат Светослав Малинов отправя запитване към ЕК дали европейското законодателство се спазва в България относно някои от важните европейски директиви за защита на хабитатите на птиците.</w:t>
      </w:r>
    </w:p>
    <w:p w:rsidR="002F7BF3" w:rsidRPr="002F7BF3" w:rsidRDefault="002F7BF3" w:rsidP="002F7BF3">
      <w:pPr>
        <w:jc w:val="both"/>
      </w:pPr>
      <w:r w:rsidRPr="002F7BF3">
        <w:rPr>
          <w:b/>
          <w:bCs/>
        </w:rPr>
        <w:t>Министър Искра Михайлова</w:t>
      </w:r>
      <w:r w:rsidRPr="002F7BF3">
        <w:t xml:space="preserve">, както и всички други ръководни органи в кабинета заявяват, че няма нужда от спиране действието на целия ОУП, и че </w:t>
      </w:r>
      <w:r w:rsidRPr="002F7BF3">
        <w:rPr>
          <w:b/>
          <w:bCs/>
        </w:rPr>
        <w:t>частични изменения са достатъчни,</w:t>
      </w:r>
      <w:r w:rsidRPr="002F7BF3">
        <w:t xml:space="preserve"> за да се защити ПП Странджа. В следствие на запитването на българския депутат, </w:t>
      </w:r>
      <w:r w:rsidRPr="002F7BF3">
        <w:rPr>
          <w:b/>
          <w:bCs/>
        </w:rPr>
        <w:t xml:space="preserve">ЕК </w:t>
      </w:r>
      <w:r w:rsidRPr="002F7BF3">
        <w:t xml:space="preserve">изпраща официално </w:t>
      </w:r>
      <w:r w:rsidRPr="002F7BF3">
        <w:rPr>
          <w:b/>
          <w:bCs/>
        </w:rPr>
        <w:t>писмо до България на 07.02.2014 г. за спешна информация по казуса ОУП на Царево</w:t>
      </w:r>
      <w:r w:rsidRPr="002F7BF3">
        <w:t>. Даден е един твърде кратък срок за отговор : 14 дни, имайки предвид, че срокът, който ЕК дава при подобни казуси е 70 дни.</w:t>
      </w:r>
    </w:p>
    <w:p w:rsidR="002F7BF3" w:rsidRPr="002F7BF3" w:rsidRDefault="002F7BF3" w:rsidP="002F7BF3">
      <w:pPr>
        <w:jc w:val="both"/>
      </w:pPr>
      <w:r w:rsidRPr="002F7BF3">
        <w:rPr>
          <w:b/>
          <w:bCs/>
        </w:rPr>
        <w:t xml:space="preserve">07.02.2014 г. - Министърът на Регионалното развитие </w:t>
      </w:r>
      <w:r w:rsidRPr="002F7BF3">
        <w:t>и благоустройството -</w:t>
      </w:r>
      <w:r w:rsidRPr="002F7BF3">
        <w:rPr>
          <w:b/>
          <w:bCs/>
        </w:rPr>
        <w:t xml:space="preserve"> Десислава Терзиева издава заповед за </w:t>
      </w:r>
      <w:r w:rsidRPr="002F7BF3">
        <w:t>започване проект на</w:t>
      </w:r>
      <w:r w:rsidRPr="002F7BF3">
        <w:rPr>
          <w:b/>
          <w:bCs/>
        </w:rPr>
        <w:t xml:space="preserve"> преработването,</w:t>
      </w:r>
      <w:r w:rsidRPr="002F7BF3">
        <w:t xml:space="preserve"> (включително и нова екологична оценка, която би отнела най-малко една-две години</w:t>
      </w:r>
      <w:r w:rsidRPr="002F7BF3">
        <w:rPr>
          <w:b/>
          <w:bCs/>
        </w:rPr>
        <w:t>) на ОУП за цялата територия на Община Царево, с което също спря и изпълнението му.</w:t>
      </w:r>
      <w:r w:rsidRPr="002F7BF3">
        <w:t xml:space="preserve"> Крайният срок за нов ОУП на Царево и Екологична оценка към него е обявен за края на 2015 г. </w:t>
      </w:r>
    </w:p>
    <w:p w:rsidR="002F7BF3" w:rsidRPr="002F7BF3" w:rsidRDefault="002F7BF3" w:rsidP="002F7BF3">
      <w:pPr>
        <w:jc w:val="both"/>
      </w:pPr>
      <w:r w:rsidRPr="002F7BF3">
        <w:rPr>
          <w:b/>
          <w:bCs/>
        </w:rPr>
        <w:t>11.02.2014 г. - Заповедта за спиране действието / изпълнението на настоящия ОУП на Царево е подписана и от екоминистърката Искра Михайлова.</w:t>
      </w:r>
      <w:r w:rsidRPr="002F7BF3">
        <w:t xml:space="preserve"> </w:t>
      </w:r>
      <w:r w:rsidRPr="002F7BF3">
        <w:rPr>
          <w:b/>
          <w:bCs/>
        </w:rPr>
        <w:t>Стартира процедура за неговата преработка и екологична оценка.</w:t>
      </w:r>
    </w:p>
    <w:p w:rsidR="002F7BF3" w:rsidRDefault="002F7BF3" w:rsidP="002F7BF3">
      <w:pPr>
        <w:jc w:val="both"/>
      </w:pPr>
      <w:r w:rsidRPr="002F7BF3">
        <w:rPr>
          <w:b/>
          <w:bCs/>
        </w:rPr>
        <w:t xml:space="preserve">13.02.2014 - </w:t>
      </w:r>
      <w:r w:rsidRPr="002F7BF3">
        <w:t>Общинарите в Царево се обявяват против отмяната на ОУП с официална декларация срещу заповедите на двете министерства.</w:t>
      </w:r>
    </w:p>
    <w:p w:rsidR="00480290" w:rsidRDefault="00480290" w:rsidP="002F7BF3">
      <w:pPr>
        <w:jc w:val="both"/>
      </w:pPr>
    </w:p>
    <w:p w:rsidR="00480290" w:rsidRPr="002F7BF3" w:rsidRDefault="00480290" w:rsidP="002F7BF3">
      <w:pPr>
        <w:jc w:val="both"/>
      </w:pPr>
    </w:p>
    <w:p w:rsidR="003B6022" w:rsidRPr="002F7BF3" w:rsidRDefault="00F16D7B" w:rsidP="002F7BF3">
      <w:pPr>
        <w:jc w:val="both"/>
        <w:rPr>
          <w:rStyle w:val="IntenseEmphasis"/>
        </w:rPr>
      </w:pPr>
      <w:r w:rsidRPr="002F7BF3">
        <w:rPr>
          <w:rStyle w:val="IntenseEmphasis"/>
        </w:rPr>
        <w:lastRenderedPageBreak/>
        <w:t xml:space="preserve">7. </w:t>
      </w:r>
      <w:r w:rsidRPr="002F7BF3">
        <w:rPr>
          <w:rStyle w:val="IntenseEmphasis"/>
        </w:rPr>
        <w:t>Странджа отново под прицел</w:t>
      </w:r>
    </w:p>
    <w:p w:rsidR="002F7BF3" w:rsidRPr="002F7BF3" w:rsidRDefault="002F7BF3" w:rsidP="002F7BF3">
      <w:pPr>
        <w:jc w:val="both"/>
        <w:rPr>
          <w:iCs/>
        </w:rPr>
      </w:pPr>
      <w:r w:rsidRPr="002F7BF3">
        <w:t xml:space="preserve">След шест години на съдебни спорове през януари 2014 г. Върховния административен съд (ВАС) допусна влизането в сила на </w:t>
      </w:r>
      <w:r w:rsidRPr="002F7BF3">
        <w:rPr>
          <w:iCs/>
        </w:rPr>
        <w:t>общия устройствен план на община Царево, въпреки че този план е изготвен без задължителната екологична оценка. Петчленен състав на Върховния административен съд отмени решението на тричленен състав на съда по жалба на природозащитни организации, с което беше отменен общия устройствен план на община Царево. Решението на петчленката идва след обжалване от страна на община Царево и настоящия министър на регионалното развитие и при пълна промяна на позицията на екоминистерството. Планът предвижда постояване на нови 75 000 легла по южното Черноморие като тотално неглижира наличието на природен парк и защитените зони от европейската мрежа Натура 2000 в община Царево.</w:t>
      </w:r>
    </w:p>
    <w:p w:rsidR="003B6022" w:rsidRPr="002F7BF3" w:rsidRDefault="00F16D7B" w:rsidP="002F7BF3">
      <w:pPr>
        <w:jc w:val="both"/>
        <w:rPr>
          <w:rStyle w:val="IntenseEmphasis"/>
        </w:rPr>
      </w:pPr>
      <w:r w:rsidRPr="002F7BF3">
        <w:rPr>
          <w:rStyle w:val="IntenseEmphasis"/>
        </w:rPr>
        <w:t xml:space="preserve">8. </w:t>
      </w:r>
      <w:r w:rsidRPr="002F7BF3">
        <w:rPr>
          <w:rStyle w:val="IntenseEmphasis"/>
        </w:rPr>
        <w:t>Кой какво може да направи?</w:t>
      </w:r>
    </w:p>
    <w:p w:rsidR="002F7BF3" w:rsidRPr="002F7BF3" w:rsidRDefault="002F7BF3" w:rsidP="002F7BF3">
      <w:pPr>
        <w:jc w:val="both"/>
      </w:pPr>
      <w:r w:rsidRPr="002F7BF3">
        <w:rPr>
          <w:b/>
          <w:i/>
          <w:iCs/>
        </w:rPr>
        <w:t xml:space="preserve">Главния прокурор </w:t>
      </w:r>
      <w:r w:rsidRPr="002F7BF3">
        <w:rPr>
          <w:iCs/>
        </w:rPr>
        <w:t>може да отмени</w:t>
      </w:r>
      <w:r w:rsidRPr="002F7BF3">
        <w:t xml:space="preserve"> решението на ВАС съгласно чл.127 от Конституцията на Р България.</w:t>
      </w:r>
    </w:p>
    <w:p w:rsidR="002F7BF3" w:rsidRPr="002F7BF3" w:rsidRDefault="002F7BF3" w:rsidP="002F7BF3">
      <w:pPr>
        <w:jc w:val="both"/>
      </w:pPr>
      <w:r w:rsidRPr="002F7BF3">
        <w:rPr>
          <w:b/>
          <w:i/>
        </w:rPr>
        <w:t>Народното събрание</w:t>
      </w:r>
      <w:r w:rsidRPr="002F7BF3">
        <w:t xml:space="preserve"> да направи спешни законодателни промени в Закона за устройство на територията и Закона за устройство на Черноморското крайбрежие: </w:t>
      </w:r>
      <w:r w:rsidRPr="002F7BF3">
        <w:br/>
        <w:t xml:space="preserve">1. Общите устройствени планове, одобрени без екологична оценка по реда на Закона за опазване на околната среда и Закона за биологичното разнообразие, да бъдат обявени за нищожни. </w:t>
      </w:r>
      <w:r w:rsidRPr="002F7BF3">
        <w:br/>
        <w:t xml:space="preserve">2. Заинтересованата общественост да получи право да търси съдебна защита срещу актове по Закона за устройство на територията и Закона за устройство на Черноморското крайбрежие, които нарушават екологичното законодателство. </w:t>
      </w:r>
      <w:r w:rsidRPr="002F7BF3">
        <w:br/>
      </w:r>
      <w:r w:rsidRPr="002F7BF3">
        <w:br/>
      </w:r>
      <w:r w:rsidRPr="002F7BF3">
        <w:rPr>
          <w:b/>
          <w:i/>
        </w:rPr>
        <w:t>Министър-председателят</w:t>
      </w:r>
      <w:r w:rsidRPr="002F7BF3">
        <w:t xml:space="preserve"> да извърши персонални промени в Министерство на околната среда и водите и Министерството на регионалното развитие, с които да бъдат освободени личностите, довели до действията на двете министерства, поставящи под риск Европейската комисия да спре цялото финансиране по структурните и кохезионни фондове. </w:t>
      </w:r>
    </w:p>
    <w:p w:rsidR="002F7BF3" w:rsidRPr="002F7BF3" w:rsidRDefault="002F7BF3" w:rsidP="002F7BF3">
      <w:pPr>
        <w:jc w:val="both"/>
      </w:pPr>
      <w:r w:rsidRPr="002F7BF3">
        <w:rPr>
          <w:b/>
          <w:i/>
        </w:rPr>
        <w:t>Европейската комисия</w:t>
      </w:r>
      <w:r w:rsidRPr="002F7BF3">
        <w:t xml:space="preserve"> да отвори отново наказателната процедура срещу България заради липса на оценка за съвместимост на общия устройствен план на Царево и Натура 2000 зоните в Странджа. В момента наказателната процедура е замразена след като бившия министърът на околната среда и водите Нона Караджова оттегли положителната екооценка за плана през 2010 г. и има готовност за бързото й отваряне при наличие на нова информация.</w:t>
      </w:r>
    </w:p>
    <w:p w:rsidR="003B6022" w:rsidRPr="00480290" w:rsidRDefault="00F16D7B" w:rsidP="002F7BF3">
      <w:pPr>
        <w:jc w:val="both"/>
        <w:rPr>
          <w:b/>
          <w:bCs/>
          <w:i/>
          <w:iCs/>
          <w:color w:val="4F81BD" w:themeColor="accent1"/>
        </w:rPr>
      </w:pPr>
      <w:r w:rsidRPr="002F7BF3">
        <w:rPr>
          <w:rStyle w:val="IntenseEmphasis"/>
        </w:rPr>
        <w:t xml:space="preserve">9. </w:t>
      </w:r>
      <w:r w:rsidRPr="002F7BF3">
        <w:rPr>
          <w:rStyle w:val="IntenseEmphasis"/>
        </w:rPr>
        <w:t>Какво предприе Коалиция „За да остане природа“?</w:t>
      </w:r>
    </w:p>
    <w:p w:rsidR="002F7BF3" w:rsidRPr="002F7BF3" w:rsidRDefault="002F7BF3" w:rsidP="002F7BF3">
      <w:pPr>
        <w:jc w:val="both"/>
        <w:rPr>
          <w:b/>
          <w:iCs/>
        </w:rPr>
      </w:pPr>
      <w:r w:rsidRPr="002F7BF3">
        <w:rPr>
          <w:iCs/>
        </w:rPr>
        <w:t>Коалиция „За да остане природа“ започна петиции до главния прокурор и до българското НС и ЕК и ЕП, изготви предложения за законодателни промени, подготви информация за подновяване на жалбата ни в Европейската комисия и Изготви парламентарни въпроси, които да бъдат зададени в българския и европейския парламент.</w:t>
      </w:r>
    </w:p>
    <w:p w:rsidR="002F7BF3" w:rsidRPr="002F7BF3" w:rsidRDefault="002F7BF3" w:rsidP="002F7BF3">
      <w:pPr>
        <w:jc w:val="both"/>
      </w:pPr>
      <w:r w:rsidRPr="002F7BF3">
        <w:rPr>
          <w:iCs/>
        </w:rPr>
        <w:t xml:space="preserve">Преди 8 години Върховния административен съд обяви за невалидна заповедта за обявяване на природен парк „Странджа“ заради неясни граници на парка...и интересите на един инвеститор със звучното име „Crash 2000” на нелегалното вилно селище „Златна перла“ край с. Варвара. Едва ли има човек, който да е забравил какво се случи тогава - големите и много атрактивни граждански протести не само в София, но и в Бургас, Варна, Пловдив, Русе, първата поява на флаш-моб движение в България, затварянето на кръстовища, лежането по хавлия на жълтите павета, мото шествията и т.н. </w:t>
      </w:r>
      <w:r w:rsidRPr="002F7BF3">
        <w:rPr>
          <w:iCs/>
        </w:rPr>
        <w:lastRenderedPageBreak/>
        <w:t>Хиляди хора на Орлов мост, готови да стоят там докато не спасят природния парк, запаления нестинарски огън пред НДК, който пренесе магията на Странджа в София...</w:t>
      </w:r>
      <w:r w:rsidRPr="002F7BF3">
        <w:t xml:space="preserve"> </w:t>
      </w:r>
    </w:p>
    <w:p w:rsidR="002F7BF3" w:rsidRPr="002F7BF3" w:rsidRDefault="002F7BF3" w:rsidP="002F7BF3">
      <w:pPr>
        <w:jc w:val="both"/>
      </w:pPr>
      <w:r w:rsidRPr="002F7BF3">
        <w:t>Тогава Народното събрание в рамките на 2 седмици прие законодателна поправка, с която бяха препотвърден статута на всички обявени до този момент защитени територии. И парк „Странджа“ беше спасен благодарение на всички нас.</w:t>
      </w:r>
    </w:p>
    <w:p w:rsidR="002F7BF3" w:rsidRPr="002F7BF3" w:rsidRDefault="002F7BF3" w:rsidP="002F7BF3">
      <w:pPr>
        <w:jc w:val="both"/>
      </w:pPr>
      <w:r w:rsidRPr="002F7BF3">
        <w:t>През април 2012 беше разрушено незаконния комплекс „Златна перла. През януари 2014 излезе и решение на Съда по правата на човека в Страсбург, което отхвърли претенциите на собствениците на незаконно построения комплекс „Златна перла“, край село Варвара в Природен парк Странджа.</w:t>
      </w:r>
    </w:p>
    <w:p w:rsidR="002F7BF3" w:rsidRPr="002F7BF3" w:rsidRDefault="002F7BF3" w:rsidP="002F7BF3">
      <w:pPr>
        <w:jc w:val="both"/>
      </w:pPr>
      <w:r w:rsidRPr="002F7BF3">
        <w:rPr>
          <w:b/>
        </w:rPr>
        <w:t xml:space="preserve">Новият общ устройствен план на Община Царево обаче ще улесни повторното изграждане на комплекс на мястото на „Златна перла“ и застрояване на 80 % от българското Черноморие. </w:t>
      </w:r>
    </w:p>
    <w:p w:rsidR="002F7BF3" w:rsidRPr="002F7BF3" w:rsidRDefault="002F7BF3" w:rsidP="00480290">
      <w:pPr>
        <w:jc w:val="both"/>
      </w:pPr>
      <w:r w:rsidRPr="002F7BF3">
        <w:t>Единствената стъпка, която обещаха да предприемат законодателната и изпълнителната власт, е да започнат процедура за изменение на общия устройствен план</w:t>
      </w:r>
      <w:r w:rsidR="00480290">
        <w:t xml:space="preserve"> на община Царево в частта му с </w:t>
      </w:r>
      <w:r w:rsidRPr="002F7BF3">
        <w:t>Природен парк Странджа, за което била издадена заповед на министъра на регионалното развитие.</w:t>
      </w:r>
    </w:p>
    <w:p w:rsidR="002F7BF3" w:rsidRPr="002F7BF3" w:rsidRDefault="002F7BF3" w:rsidP="002F7BF3">
      <w:pPr>
        <w:jc w:val="both"/>
      </w:pPr>
      <w:r w:rsidRPr="002F7BF3">
        <w:t>Това означава, че според регионалното и екоминистерството заповедта за общия план на община Царево влиза в сила, въпреки че няма влязло в сила становище по екологична оценка и оценка за съвместимост с НАТУРА 2000, както изискват чл. 82. ал.4 на ЗООС и чл.31 на ЗБР.*</w:t>
      </w:r>
    </w:p>
    <w:p w:rsidR="002F7BF3" w:rsidRPr="002F7BF3" w:rsidRDefault="002F7BF3" w:rsidP="002F7BF3">
      <w:pPr>
        <w:jc w:val="both"/>
      </w:pPr>
      <w:r w:rsidRPr="002F7BF3">
        <w:t>Обаче изменението на общия устройствен план на община Царево ще продължи да се прилага и занапред, извън и в Природен парк Странджа, до датата на приемане на следващия план. Това предвижда чл.136 ал.3 на ЗУТ.*</w:t>
      </w:r>
    </w:p>
    <w:p w:rsidR="002F7BF3" w:rsidRPr="002F7BF3" w:rsidRDefault="002F7BF3" w:rsidP="002F7BF3">
      <w:pPr>
        <w:jc w:val="both"/>
      </w:pPr>
      <w:r w:rsidRPr="002F7BF3">
        <w:t>Екоминистерството не смята да изпълни задължението си по чл. 122 ал.1 на Закона за биологичното разнообразие да спре действията на планове, които са приети в нарушаване на същия закон, т.е. без задължителната оценка за съвместимост с целите на НАТУРА 2000.*</w:t>
      </w:r>
    </w:p>
    <w:p w:rsidR="002F7BF3" w:rsidRPr="002F7BF3" w:rsidRDefault="002F7BF3" w:rsidP="002F7BF3">
      <w:pPr>
        <w:jc w:val="both"/>
      </w:pPr>
      <w:r w:rsidRPr="002F7BF3">
        <w:t xml:space="preserve">Нито един от 240 депутати в НС не е предприел действие да отмени общия устройствен план на Царево съгласно своите правомощия. </w:t>
      </w:r>
    </w:p>
    <w:p w:rsidR="002F7BF3" w:rsidRPr="002F7BF3" w:rsidRDefault="002F7BF3" w:rsidP="002F7BF3">
      <w:pPr>
        <w:jc w:val="both"/>
      </w:pPr>
      <w:r w:rsidRPr="002F7BF3">
        <w:t>Регионалното и екоминистерството показаха, че нямат намерение да изпълнят решение № 3614 от 14.03.2011 г. на седемчленен състав на Върховния административен съд, който ги задължи да изготвят нова екологична оценка на общия устройствен план на Царево.</w:t>
      </w:r>
    </w:p>
    <w:p w:rsidR="003B6022" w:rsidRPr="002F7BF3" w:rsidRDefault="00F16D7B" w:rsidP="002F7BF3">
      <w:pPr>
        <w:jc w:val="both"/>
        <w:rPr>
          <w:rStyle w:val="IntenseEmphasis"/>
        </w:rPr>
      </w:pPr>
      <w:r w:rsidRPr="002F7BF3">
        <w:rPr>
          <w:rStyle w:val="IntenseEmphasis"/>
        </w:rPr>
        <w:t xml:space="preserve">10. </w:t>
      </w:r>
      <w:r w:rsidRPr="002F7BF3">
        <w:rPr>
          <w:rStyle w:val="IntenseEmphasis"/>
        </w:rPr>
        <w:t>Препратки към законите:</w:t>
      </w:r>
    </w:p>
    <w:p w:rsidR="002F7BF3" w:rsidRPr="002F7BF3" w:rsidRDefault="002F7BF3" w:rsidP="002F7BF3">
      <w:pPr>
        <w:jc w:val="both"/>
      </w:pPr>
      <w:r w:rsidRPr="002F7BF3">
        <w:t xml:space="preserve">- ЗООСВ, чл.82 (4) Екологичната оценка на планове и програми завършва със становище или решение на компетентния орган по чл. 84, ал. 1. Влязлото в сила становище или решение е задължително условие за последващото одобряване на плана или програмата. Органите, отговорни за одобряване и прилагане на плана или програмата, се съобразяват със становището или решението и с поставените в тях условия, мерки и ограничения. </w:t>
      </w:r>
    </w:p>
    <w:p w:rsidR="002F7BF3" w:rsidRPr="002F7BF3" w:rsidRDefault="002F7BF3" w:rsidP="002F7BF3">
      <w:pPr>
        <w:jc w:val="both"/>
      </w:pPr>
      <w:r w:rsidRPr="002F7BF3">
        <w:t>- ЗУТ, чл. 136.(3) Действието на съответния предходен устройствен план се прекратява от деня на влизането в сила на новия или изменения устройствен план.</w:t>
      </w:r>
    </w:p>
    <w:p w:rsidR="002F7BF3" w:rsidRPr="002F7BF3" w:rsidRDefault="002F7BF3" w:rsidP="002F7BF3">
      <w:pPr>
        <w:jc w:val="both"/>
      </w:pPr>
      <w:r w:rsidRPr="002F7BF3">
        <w:t xml:space="preserve">- ЗБР, чл. 122. (1) Министърът на околната среда и водите: </w:t>
      </w:r>
    </w:p>
    <w:p w:rsidR="002F7BF3" w:rsidRPr="002F7BF3" w:rsidRDefault="002F7BF3" w:rsidP="002F7BF3">
      <w:pPr>
        <w:jc w:val="both"/>
      </w:pPr>
      <w:r w:rsidRPr="002F7BF3">
        <w:t xml:space="preserve">1. спира разпореждания на органи на изпълнителната власт, които са в нарушение на този закон; </w:t>
      </w:r>
    </w:p>
    <w:p w:rsidR="002F7BF3" w:rsidRPr="002F7BF3" w:rsidRDefault="002F7BF3" w:rsidP="002F7BF3">
      <w:pPr>
        <w:jc w:val="both"/>
      </w:pPr>
      <w:r w:rsidRPr="002F7BF3">
        <w:lastRenderedPageBreak/>
        <w:t xml:space="preserve">2. спира реализацията на планове и проекти, започнати или утвърдени в нарушение на този закон; </w:t>
      </w:r>
    </w:p>
    <w:p w:rsidR="002F7BF3" w:rsidRPr="002F7BF3" w:rsidRDefault="002F7BF3" w:rsidP="002F7BF3">
      <w:pPr>
        <w:jc w:val="both"/>
      </w:pPr>
      <w:r w:rsidRPr="002F7BF3">
        <w:t>- Из Решение № 3614 от 14.03.2011 г. на седемчленен състав на Върховния административен съд: "С оттеглянето на становището за екологична оценка е възстановена висящността на производство за вътрешна административна услуга, поискана от министъра на регионалното развитие и благоустройството, поради което министърът на околната среда и водите е длъжен да финализира това производство с ново становище във формата и съдържанието по чл. 26 от Наредбата за условията и реда за извършване на екологична оценка на планове и програми (арг. чл. 82, ал. 4 ЗООС)."</w:t>
      </w:r>
    </w:p>
    <w:p w:rsidR="002F7BF3" w:rsidRDefault="002F7BF3" w:rsidP="002F7BF3">
      <w:pPr>
        <w:jc w:val="both"/>
      </w:pPr>
      <w:r w:rsidRPr="002F7BF3">
        <w:t>Природен парк Странджа в България е едновременно SCI BG0001007 и SPA BG0002040. Заради одобрен General Master Plan (GMP) на община Царево през 2008 предвиждащ застрояване на крайбрежната ивица и местообитания на парка и след сигнали на НПО, беше стартирано разследване на комисията по случая, което обаче беше прекратено през 2011 година след оттегляне на оценката на плана по чл. 6 (3) на Хабитатната Директива. Оттеглянето на порочната и оспорвана оценка по чл. 6 (3) и дадените политически гаранции, че от тогавашния министър на околната среда на България, че GMP на Царево няма да се изпълнява без оценка по чл. 6 (3) се счетоха от Европейската комисия за достатъчно основание да прекратят статрираното разследване и да уведомят жалбоподателите от НПО.</w:t>
      </w:r>
      <w:r w:rsidRPr="002F7BF3">
        <w:br/>
        <w:t>Приемането на устройственият план в този му вид ще компрометира завинаги развитието на туризма за сметка на спекулативните интереси на икономическите групировки.  Ако не бъде отменен ОУП на ОЦ, същите абсурди могат да бъдат допуснати и във всички останали общини с морски и планински курорти. Тезата на екоминистерството, че отделните подробни устройствени планове по общия устройствен план ще бъдат проверявани един по един преди да бъдат утвърдени, е напълно несъстоятелна, защото ако ги има предвидени по ОУП никой не може да ги спре и ще се създадат условия за корупция.</w:t>
      </w:r>
    </w:p>
    <w:p w:rsidR="00480290" w:rsidRDefault="00480290" w:rsidP="002F7BF3">
      <w:pPr>
        <w:jc w:val="both"/>
      </w:pPr>
    </w:p>
    <w:p w:rsidR="00480290" w:rsidRDefault="00480290" w:rsidP="002F7BF3">
      <w:pPr>
        <w:jc w:val="both"/>
      </w:pPr>
    </w:p>
    <w:p w:rsidR="00480290" w:rsidRDefault="00480290" w:rsidP="002F7BF3">
      <w:pPr>
        <w:jc w:val="both"/>
      </w:pPr>
    </w:p>
    <w:p w:rsidR="00480290" w:rsidRDefault="00480290" w:rsidP="002F7BF3">
      <w:pPr>
        <w:jc w:val="both"/>
      </w:pPr>
    </w:p>
    <w:p w:rsidR="00480290" w:rsidRDefault="00480290" w:rsidP="002F7BF3">
      <w:pPr>
        <w:jc w:val="both"/>
      </w:pPr>
    </w:p>
    <w:p w:rsidR="00480290" w:rsidRDefault="00480290" w:rsidP="002F7BF3">
      <w:pPr>
        <w:jc w:val="both"/>
      </w:pPr>
    </w:p>
    <w:p w:rsidR="00480290" w:rsidRDefault="00480290" w:rsidP="002F7BF3">
      <w:pPr>
        <w:jc w:val="both"/>
      </w:pPr>
    </w:p>
    <w:p w:rsidR="00480290" w:rsidRDefault="00480290" w:rsidP="002F7BF3">
      <w:pPr>
        <w:jc w:val="both"/>
      </w:pPr>
    </w:p>
    <w:p w:rsidR="002F7BF3" w:rsidRPr="002F7BF3" w:rsidRDefault="002F7BF3" w:rsidP="002F7BF3">
      <w:pPr>
        <w:jc w:val="both"/>
        <w:rPr>
          <w:lang w:val="en-US"/>
        </w:rPr>
      </w:pPr>
      <w:r w:rsidRPr="002F7BF3">
        <w:rPr>
          <w:i/>
          <w:iCs/>
          <w:lang w:val="en-US"/>
        </w:rPr>
        <w:t xml:space="preserve">Информацията е актуализирана към </w:t>
      </w:r>
      <w:r w:rsidR="00480290">
        <w:rPr>
          <w:i/>
          <w:iCs/>
        </w:rPr>
        <w:t xml:space="preserve">март </w:t>
      </w:r>
      <w:r w:rsidRPr="002F7BF3">
        <w:rPr>
          <w:i/>
          <w:iCs/>
        </w:rPr>
        <w:t xml:space="preserve">2016 г. </w:t>
      </w:r>
      <w:r w:rsidRPr="002F7BF3">
        <w:rPr>
          <w:i/>
          <w:iCs/>
          <w:lang w:val="en-US"/>
        </w:rPr>
        <w:t xml:space="preserve"> и е подпомогната от проект „Участие за природа”, който се финансира в рамките на Програмата за подкрепа на НПО в България по Финансовия механизъм на Европейското икономическо пространство 2009-2014 г. Проектът се изпълнява от Българска фондация Биоразнообразие в партньорство с Екологично сдружение „За Земята“ и мрежа за гражданско действие „Блулинк“.</w:t>
      </w:r>
    </w:p>
    <w:p w:rsidR="00762373" w:rsidRPr="00480290" w:rsidRDefault="00762373" w:rsidP="0053085B">
      <w:pPr>
        <w:jc w:val="both"/>
      </w:pPr>
    </w:p>
    <w:sectPr w:rsidR="00762373" w:rsidRPr="00480290" w:rsidSect="00C34154">
      <w:headerReference w:type="default" r:id="rId11"/>
      <w:footerReference w:type="default" r:id="rId12"/>
      <w:pgSz w:w="11907" w:h="16839" w:code="9"/>
      <w:pgMar w:top="1252" w:right="1133" w:bottom="993" w:left="1134" w:header="0" w:footer="176" w:gutter="0"/>
      <w:pgNumType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7B" w:rsidRDefault="00F16D7B" w:rsidP="00683256">
      <w:pPr>
        <w:spacing w:after="0" w:line="240" w:lineRule="auto"/>
      </w:pPr>
      <w:r>
        <w:separator/>
      </w:r>
    </w:p>
  </w:endnote>
  <w:endnote w:type="continuationSeparator" w:id="0">
    <w:p w:rsidR="00F16D7B" w:rsidRDefault="00F16D7B" w:rsidP="0068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T15Et00">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altName w:val="MS PMincho"/>
    <w:charset w:val="8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658353"/>
      <w:docPartObj>
        <w:docPartGallery w:val="Page Numbers (Bottom of Page)"/>
        <w:docPartUnique/>
      </w:docPartObj>
    </w:sdtPr>
    <w:sdtEndPr>
      <w:rPr>
        <w:noProof/>
      </w:rPr>
    </w:sdtEndPr>
    <w:sdtContent>
      <w:p w:rsidR="006F6FF6" w:rsidRDefault="006F6FF6">
        <w:pPr>
          <w:pStyle w:val="Footer"/>
          <w:jc w:val="center"/>
        </w:pPr>
        <w:r>
          <w:fldChar w:fldCharType="begin"/>
        </w:r>
        <w:r>
          <w:instrText xml:space="preserve"> PAGE   \* MERGEFORMAT </w:instrText>
        </w:r>
        <w:r>
          <w:fldChar w:fldCharType="separate"/>
        </w:r>
        <w:r w:rsidR="00BE366B">
          <w:rPr>
            <w:noProof/>
          </w:rPr>
          <w:t>6</w:t>
        </w:r>
        <w:r>
          <w:rPr>
            <w:noProof/>
          </w:rPr>
          <w:fldChar w:fldCharType="end"/>
        </w:r>
      </w:p>
    </w:sdtContent>
  </w:sdt>
  <w:p w:rsidR="000F1EF2" w:rsidRDefault="000F1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7B" w:rsidRDefault="00F16D7B" w:rsidP="00683256">
      <w:pPr>
        <w:spacing w:after="0" w:line="240" w:lineRule="auto"/>
      </w:pPr>
      <w:r>
        <w:separator/>
      </w:r>
    </w:p>
  </w:footnote>
  <w:footnote w:type="continuationSeparator" w:id="0">
    <w:p w:rsidR="00F16D7B" w:rsidRDefault="00F16D7B" w:rsidP="00683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F2" w:rsidRPr="009222F1" w:rsidRDefault="000F1EF2" w:rsidP="0051225B">
    <w:pPr>
      <w:pStyle w:val="Header"/>
    </w:pPr>
    <w:r>
      <w:rPr>
        <w:noProof/>
        <w:lang w:eastAsia="bg-BG"/>
      </w:rPr>
      <w:drawing>
        <wp:inline distT="0" distB="0" distL="0" distR="0" wp14:anchorId="5B235C63" wp14:editId="769C38CC">
          <wp:extent cx="1240790" cy="838200"/>
          <wp:effectExtent l="0" t="0" r="0" b="0"/>
          <wp:docPr id="4" name="Picture 4" descr="&amp;Pcy;&amp;rcy;&amp;ocy;&amp;iecy;&amp;kcy;&amp;tcy; „&amp;Gcy;&amp;Icy;&amp;Scy;: &amp;Gcy;&amp;rcy;&amp;acy;&amp;zhcy;&amp;dcy;&amp;acy;&amp;ncy;&amp;scy;&amp;kcy;&amp;acy; &amp;acy;&amp;kcy;&amp;tcy;&amp;icy;&amp;vcy;&amp;ncy;&amp;ocy;&amp;scy;&amp;tcy;, &amp;Icy;&amp;ncy;&amp;fcy;&amp;ocy;&amp;rcy;&amp;mcy;&amp;acy;&amp;tscy;&amp;icy;&amp;ocy;&amp;ncy;&amp;ncy;&amp;icy; &amp;scy;&amp;icy;&amp;scy;&amp;tcy;&amp;iecy;&amp;mcy;&amp;icy;, &amp;Scy;&amp;hardcy;&amp;khcy;&amp;rcy;&amp;acy;&amp;ncy;&amp;iecy;&amp;ncy;&amp;acy; &amp;pcy;&amp;rcy;&amp;icy;&amp;rcy;&amp;ocy;&amp;dcy;&amp;acy;“ &amp;shchcy;&amp;iecy; &amp;bcy;&amp;hardcy;&amp;dcy;&amp;iecy; &amp;pcy;&amp;rcy;&amp;iecy;&amp;dcy;&amp;scy;&amp;tcy;&amp;acy;&amp;vcy;&amp;iecy;&amp;ncy; &amp;pcy;&amp;ocy; &amp;vcy;&amp;rcy;&amp;iecy;&amp;mcy;&amp;iecy; &amp;ncy;&amp;acy; &amp;scy;&amp;hardcy;&amp;bcy;&amp;icy;&amp;tcy;&amp;icy;&amp;iecy;&amp;tcy;&amp;ocy; &amp;zcy;&amp;acy; &amp;chcy;&amp;iecy;&amp;scy;&amp;tcy;&amp;vcy;&amp;acy;&amp;ncy;&amp;iecy; &amp;ncy;&amp;acy; &amp;Scy;&amp;vcy;&amp;iecy;&amp;tcy;&amp;ocy;&amp;vcy;&amp;ncy;&amp;icy;&amp;yacy; &amp;Gcy;&amp;Icy;&amp;Scy; &amp;dcy;&amp;iecy;&amp;ncy; &amp;vcy; &amp;Bcy;&amp;hardcy;&amp;lcy;&amp;gcy;&amp;acy;&amp;rcy;&amp;icy;&amp;y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rcy;&amp;ocy;&amp;iecy;&amp;kcy;&amp;tcy; „&amp;Gcy;&amp;Icy;&amp;Scy;: &amp;Gcy;&amp;rcy;&amp;acy;&amp;zhcy;&amp;dcy;&amp;acy;&amp;ncy;&amp;scy;&amp;kcy;&amp;acy; &amp;acy;&amp;kcy;&amp;tcy;&amp;icy;&amp;vcy;&amp;ncy;&amp;ocy;&amp;scy;&amp;tcy;, &amp;Icy;&amp;ncy;&amp;fcy;&amp;ocy;&amp;rcy;&amp;mcy;&amp;acy;&amp;tscy;&amp;icy;&amp;ocy;&amp;ncy;&amp;ncy;&amp;icy; &amp;scy;&amp;icy;&amp;scy;&amp;tcy;&amp;iecy;&amp;mcy;&amp;icy;, &amp;Scy;&amp;hardcy;&amp;khcy;&amp;rcy;&amp;acy;&amp;ncy;&amp;iecy;&amp;ncy;&amp;acy; &amp;pcy;&amp;rcy;&amp;icy;&amp;rcy;&amp;ocy;&amp;dcy;&amp;acy;“ &amp;shchcy;&amp;iecy; &amp;bcy;&amp;hardcy;&amp;dcy;&amp;iecy; &amp;pcy;&amp;rcy;&amp;iecy;&amp;dcy;&amp;scy;&amp;tcy;&amp;acy;&amp;vcy;&amp;iecy;&amp;ncy; &amp;pcy;&amp;ocy; &amp;vcy;&amp;rcy;&amp;iecy;&amp;mcy;&amp;iecy; &amp;ncy;&amp;acy; &amp;scy;&amp;hardcy;&amp;bcy;&amp;icy;&amp;tcy;&amp;icy;&amp;iecy;&amp;tcy;&amp;ocy; &amp;zcy;&amp;acy; &amp;chcy;&amp;iecy;&amp;scy;&amp;tcy;&amp;vcy;&amp;acy;&amp;ncy;&amp;iecy; &amp;ncy;&amp;acy; &amp;Scy;&amp;vcy;&amp;iecy;&amp;tcy;&amp;ocy;&amp;vcy;&amp;ncy;&amp;icy;&amp;yacy; &amp;Gcy;&amp;Icy;&amp;Scy; &amp;dcy;&amp;iecy;&amp;ncy; &amp;vcy; &amp;Bcy;&amp;hardcy;&amp;lcy;&amp;gcy;&amp;acy;&amp;rcy;&amp;icy;&amp;yac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838200"/>
                  </a:xfrm>
                  <a:prstGeom prst="rect">
                    <a:avLst/>
                  </a:prstGeom>
                  <a:noFill/>
                  <a:ln>
                    <a:noFill/>
                  </a:ln>
                </pic:spPr>
              </pic:pic>
            </a:graphicData>
          </a:graphic>
        </wp:inline>
      </w:drawing>
    </w:r>
    <w:r>
      <w:rPr>
        <w:noProof/>
        <w:lang w:eastAsia="bg-BG"/>
      </w:rPr>
      <w:drawing>
        <wp:anchor distT="0" distB="0" distL="0" distR="0" simplePos="0" relativeHeight="251660288" behindDoc="0" locked="0" layoutInCell="1" allowOverlap="1" wp14:anchorId="623BED75" wp14:editId="30118B61">
          <wp:simplePos x="0" y="0"/>
          <wp:positionH relativeFrom="column">
            <wp:posOffset>3873500</wp:posOffset>
          </wp:positionH>
          <wp:positionV relativeFrom="paragraph">
            <wp:posOffset>449580</wp:posOffset>
          </wp:positionV>
          <wp:extent cx="1504950" cy="387985"/>
          <wp:effectExtent l="0" t="0" r="0" b="0"/>
          <wp:wrapSquare wrapText="larges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3879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64384" behindDoc="1" locked="0" layoutInCell="1" allowOverlap="1" wp14:anchorId="2C1CD4F7" wp14:editId="6922E191">
          <wp:simplePos x="0" y="0"/>
          <wp:positionH relativeFrom="column">
            <wp:posOffset>5648325</wp:posOffset>
          </wp:positionH>
          <wp:positionV relativeFrom="paragraph">
            <wp:posOffset>370840</wp:posOffset>
          </wp:positionV>
          <wp:extent cx="838200" cy="466725"/>
          <wp:effectExtent l="0" t="0" r="0" b="9525"/>
          <wp:wrapTight wrapText="bothSides">
            <wp:wrapPolygon edited="0">
              <wp:start x="0" y="0"/>
              <wp:lineTo x="0" y="21159"/>
              <wp:lineTo x="21109" y="21159"/>
              <wp:lineTo x="21109" y="0"/>
              <wp:lineTo x="0" y="0"/>
            </wp:wrapPolygon>
          </wp:wrapTight>
          <wp:docPr id="9" name="Picture 10" descr="http://forthenature.org/upload/tmb/media/bluelink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orthenature.org/upload/tmb/media/bluelinkne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466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66432" behindDoc="1" locked="0" layoutInCell="1" allowOverlap="1" wp14:anchorId="7A346FB5" wp14:editId="48AE7282">
          <wp:simplePos x="0" y="0"/>
          <wp:positionH relativeFrom="column">
            <wp:posOffset>1850390</wp:posOffset>
          </wp:positionH>
          <wp:positionV relativeFrom="paragraph">
            <wp:posOffset>370840</wp:posOffset>
          </wp:positionV>
          <wp:extent cx="1847850" cy="466725"/>
          <wp:effectExtent l="0" t="0" r="0" b="9525"/>
          <wp:wrapTight wrapText="bothSides">
            <wp:wrapPolygon edited="0">
              <wp:start x="0" y="0"/>
              <wp:lineTo x="0" y="21159"/>
              <wp:lineTo x="21377" y="21159"/>
              <wp:lineTo x="21377" y="0"/>
              <wp:lineTo x="0"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4667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468"/>
        </w:tabs>
        <w:ind w:left="3468" w:hanging="360"/>
      </w:pPr>
    </w:lvl>
    <w:lvl w:ilvl="1">
      <w:start w:val="1"/>
      <w:numFmt w:val="decimal"/>
      <w:lvlText w:val="%2."/>
      <w:lvlJc w:val="left"/>
      <w:pPr>
        <w:tabs>
          <w:tab w:val="num" w:pos="4046"/>
        </w:tabs>
        <w:ind w:left="4046" w:hanging="360"/>
      </w:pPr>
    </w:lvl>
    <w:lvl w:ilvl="2">
      <w:start w:val="1"/>
      <w:numFmt w:val="decimal"/>
      <w:lvlText w:val="%3."/>
      <w:lvlJc w:val="left"/>
      <w:pPr>
        <w:tabs>
          <w:tab w:val="num" w:pos="4406"/>
        </w:tabs>
        <w:ind w:left="4406" w:hanging="360"/>
      </w:pPr>
    </w:lvl>
    <w:lvl w:ilvl="3">
      <w:start w:val="1"/>
      <w:numFmt w:val="decimal"/>
      <w:lvlText w:val="%4."/>
      <w:lvlJc w:val="left"/>
      <w:pPr>
        <w:tabs>
          <w:tab w:val="num" w:pos="4766"/>
        </w:tabs>
        <w:ind w:left="4766" w:hanging="360"/>
      </w:pPr>
    </w:lvl>
    <w:lvl w:ilvl="4">
      <w:start w:val="1"/>
      <w:numFmt w:val="decimal"/>
      <w:lvlText w:val="%5."/>
      <w:lvlJc w:val="left"/>
      <w:pPr>
        <w:tabs>
          <w:tab w:val="num" w:pos="5126"/>
        </w:tabs>
        <w:ind w:left="5126" w:hanging="360"/>
      </w:pPr>
    </w:lvl>
    <w:lvl w:ilvl="5">
      <w:start w:val="1"/>
      <w:numFmt w:val="decimal"/>
      <w:lvlText w:val="%6."/>
      <w:lvlJc w:val="left"/>
      <w:pPr>
        <w:tabs>
          <w:tab w:val="num" w:pos="5486"/>
        </w:tabs>
        <w:ind w:left="5486" w:hanging="360"/>
      </w:pPr>
    </w:lvl>
    <w:lvl w:ilvl="6">
      <w:start w:val="1"/>
      <w:numFmt w:val="decimal"/>
      <w:lvlText w:val="%7."/>
      <w:lvlJc w:val="left"/>
      <w:pPr>
        <w:tabs>
          <w:tab w:val="num" w:pos="5846"/>
        </w:tabs>
        <w:ind w:left="5846" w:hanging="360"/>
      </w:pPr>
    </w:lvl>
    <w:lvl w:ilvl="7">
      <w:start w:val="1"/>
      <w:numFmt w:val="decimal"/>
      <w:lvlText w:val="%8."/>
      <w:lvlJc w:val="left"/>
      <w:pPr>
        <w:tabs>
          <w:tab w:val="num" w:pos="6206"/>
        </w:tabs>
        <w:ind w:left="6206" w:hanging="360"/>
      </w:pPr>
    </w:lvl>
    <w:lvl w:ilvl="8">
      <w:start w:val="1"/>
      <w:numFmt w:val="decimal"/>
      <w:lvlText w:val="%9."/>
      <w:lvlJc w:val="left"/>
      <w:pPr>
        <w:tabs>
          <w:tab w:val="num" w:pos="6566"/>
        </w:tabs>
        <w:ind w:left="6566" w:hanging="360"/>
      </w:pPr>
    </w:lvl>
  </w:abstractNum>
  <w:abstractNum w:abstractNumId="1">
    <w:nsid w:val="00000004"/>
    <w:multiLevelType w:val="multilevel"/>
    <w:tmpl w:val="00000004"/>
    <w:name w:val="WW8Num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00E56F22"/>
    <w:multiLevelType w:val="hybridMultilevel"/>
    <w:tmpl w:val="426489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5B8190E"/>
    <w:multiLevelType w:val="multilevel"/>
    <w:tmpl w:val="CA5813B4"/>
    <w:lvl w:ilvl="0">
      <w:start w:val="1"/>
      <w:numFmt w:val="decimal"/>
      <w:lvlText w:val="%1."/>
      <w:lvlJc w:val="left"/>
      <w:pPr>
        <w:ind w:left="720" w:hanging="360"/>
      </w:pPr>
      <w:rPr>
        <w:rFonts w:hint="default"/>
        <w:b/>
      </w:rPr>
    </w:lvl>
    <w:lvl w:ilvl="1">
      <w:start w:val="1"/>
      <w:numFmt w:val="bullet"/>
      <w:lvlText w:val=""/>
      <w:lvlJc w:val="left"/>
      <w:pPr>
        <w:ind w:left="1080" w:hanging="360"/>
      </w:pPr>
      <w:rPr>
        <w:rFonts w:ascii="Symbol" w:hAnsi="Symbol"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nsid w:val="0C1A6330"/>
    <w:multiLevelType w:val="multilevel"/>
    <w:tmpl w:val="E6FE4A9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0F9041E8"/>
    <w:multiLevelType w:val="hybridMultilevel"/>
    <w:tmpl w:val="EE549C62"/>
    <w:lvl w:ilvl="0" w:tplc="F65CC9E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F9C11A3"/>
    <w:multiLevelType w:val="hybridMultilevel"/>
    <w:tmpl w:val="D1C633F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0B9494F"/>
    <w:multiLevelType w:val="hybridMultilevel"/>
    <w:tmpl w:val="8DD00876"/>
    <w:lvl w:ilvl="0" w:tplc="8156617E">
      <w:start w:val="2"/>
      <w:numFmt w:val="bullet"/>
      <w:lvlText w:val="-"/>
      <w:lvlJc w:val="left"/>
      <w:pPr>
        <w:ind w:left="1080" w:hanging="360"/>
      </w:pPr>
      <w:rPr>
        <w:rFonts w:ascii="Calibri" w:eastAsia="Calibri" w:hAnsi="Calibri" w:cs="TT15Et00"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16697F12"/>
    <w:multiLevelType w:val="hybridMultilevel"/>
    <w:tmpl w:val="2A2097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70E17C3"/>
    <w:multiLevelType w:val="multilevel"/>
    <w:tmpl w:val="6DA84B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8E82816"/>
    <w:multiLevelType w:val="hybridMultilevel"/>
    <w:tmpl w:val="D5383E56"/>
    <w:lvl w:ilvl="0" w:tplc="A49A2650">
      <w:start w:val="1"/>
      <w:numFmt w:val="decimal"/>
      <w:lvlText w:val="5.1%1"/>
      <w:lvlJc w:val="left"/>
      <w:pPr>
        <w:ind w:left="720" w:hanging="360"/>
      </w:pPr>
      <w:rPr>
        <w:rFonts w:hint="default"/>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AE15218"/>
    <w:multiLevelType w:val="multilevel"/>
    <w:tmpl w:val="28CC934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nsid w:val="1CC30C1D"/>
    <w:multiLevelType w:val="hybridMultilevel"/>
    <w:tmpl w:val="AC326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1C09BB"/>
    <w:multiLevelType w:val="hybridMultilevel"/>
    <w:tmpl w:val="EDB84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002C43"/>
    <w:multiLevelType w:val="multilevel"/>
    <w:tmpl w:val="1F30C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11848F7"/>
    <w:multiLevelType w:val="multilevel"/>
    <w:tmpl w:val="DD3010F0"/>
    <w:lvl w:ilvl="0">
      <w:start w:val="1"/>
      <w:numFmt w:val="decimal"/>
      <w:lvlText w:val="%1"/>
      <w:lvlJc w:val="left"/>
      <w:pPr>
        <w:ind w:left="360" w:hanging="360"/>
      </w:pPr>
      <w:rPr>
        <w:rFonts w:hint="default"/>
        <w:b/>
      </w:rPr>
    </w:lvl>
    <w:lvl w:ilvl="1">
      <w:start w:val="2"/>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16">
    <w:nsid w:val="250206B1"/>
    <w:multiLevelType w:val="hybridMultilevel"/>
    <w:tmpl w:val="E6E6B9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7604CB6"/>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3A0971"/>
    <w:multiLevelType w:val="hybridMultilevel"/>
    <w:tmpl w:val="CD76B43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BEC2935"/>
    <w:multiLevelType w:val="hybridMultilevel"/>
    <w:tmpl w:val="24D4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F1230F"/>
    <w:multiLevelType w:val="hybridMultilevel"/>
    <w:tmpl w:val="9DBA7AEA"/>
    <w:lvl w:ilvl="0" w:tplc="BFE093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nsid w:val="2ECF782A"/>
    <w:multiLevelType w:val="hybridMultilevel"/>
    <w:tmpl w:val="85685BB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nsid w:val="30282CF6"/>
    <w:multiLevelType w:val="hybridMultilevel"/>
    <w:tmpl w:val="22209412"/>
    <w:lvl w:ilvl="0" w:tplc="A49A2650">
      <w:start w:val="1"/>
      <w:numFmt w:val="decimal"/>
      <w:lvlText w:val="5.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4734AC8"/>
    <w:multiLevelType w:val="hybridMultilevel"/>
    <w:tmpl w:val="E780C4A2"/>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630182A"/>
    <w:multiLevelType w:val="multilevel"/>
    <w:tmpl w:val="40FA20E0"/>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nsid w:val="3A9F34E7"/>
    <w:multiLevelType w:val="hybridMultilevel"/>
    <w:tmpl w:val="CBD072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D633502"/>
    <w:multiLevelType w:val="multilevel"/>
    <w:tmpl w:val="8CD0B2D0"/>
    <w:lvl w:ilvl="0">
      <w:start w:val="9"/>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4801927"/>
    <w:multiLevelType w:val="multilevel"/>
    <w:tmpl w:val="AF4458A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8">
    <w:nsid w:val="475E1883"/>
    <w:multiLevelType w:val="hybridMultilevel"/>
    <w:tmpl w:val="2500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6389F"/>
    <w:multiLevelType w:val="hybridMultilevel"/>
    <w:tmpl w:val="B57A8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14A0B"/>
    <w:multiLevelType w:val="hybridMultilevel"/>
    <w:tmpl w:val="4B08E8CE"/>
    <w:lvl w:ilvl="0" w:tplc="FDE605D6">
      <w:start w:val="1"/>
      <w:numFmt w:val="decimal"/>
      <w:lvlText w:val="%1."/>
      <w:lvlJc w:val="left"/>
      <w:pPr>
        <w:ind w:left="720" w:hanging="360"/>
      </w:pPr>
      <w:rPr>
        <w:rFonts w:hint="default"/>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63265A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945CE4"/>
    <w:multiLevelType w:val="multilevel"/>
    <w:tmpl w:val="6DA84B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86C49AA"/>
    <w:multiLevelType w:val="hybridMultilevel"/>
    <w:tmpl w:val="072EE6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8D16783"/>
    <w:multiLevelType w:val="hybridMultilevel"/>
    <w:tmpl w:val="24D2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0B6264"/>
    <w:multiLevelType w:val="hybridMultilevel"/>
    <w:tmpl w:val="F830F5B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53368D4"/>
    <w:multiLevelType w:val="hybridMultilevel"/>
    <w:tmpl w:val="49FA48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9D4126A"/>
    <w:multiLevelType w:val="hybridMultilevel"/>
    <w:tmpl w:val="595C89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B636048"/>
    <w:multiLevelType w:val="hybridMultilevel"/>
    <w:tmpl w:val="E62C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D7E6F"/>
    <w:multiLevelType w:val="multilevel"/>
    <w:tmpl w:val="1F30C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DFF6880"/>
    <w:multiLevelType w:val="multilevel"/>
    <w:tmpl w:val="1F30C1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E1249AE"/>
    <w:multiLevelType w:val="hybridMultilevel"/>
    <w:tmpl w:val="245E6D94"/>
    <w:lvl w:ilvl="0" w:tplc="3F92351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EAA1B34"/>
    <w:multiLevelType w:val="hybridMultilevel"/>
    <w:tmpl w:val="86FE6514"/>
    <w:lvl w:ilvl="0" w:tplc="D0DC458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7"/>
  </w:num>
  <w:num w:numId="3">
    <w:abstractNumId w:val="15"/>
  </w:num>
  <w:num w:numId="4">
    <w:abstractNumId w:val="11"/>
  </w:num>
  <w:num w:numId="5">
    <w:abstractNumId w:val="33"/>
  </w:num>
  <w:num w:numId="6">
    <w:abstractNumId w:val="7"/>
  </w:num>
  <w:num w:numId="7">
    <w:abstractNumId w:val="3"/>
  </w:num>
  <w:num w:numId="8">
    <w:abstractNumId w:val="5"/>
  </w:num>
  <w:num w:numId="9">
    <w:abstractNumId w:val="26"/>
  </w:num>
  <w:num w:numId="10">
    <w:abstractNumId w:val="42"/>
  </w:num>
  <w:num w:numId="11">
    <w:abstractNumId w:val="25"/>
  </w:num>
  <w:num w:numId="12">
    <w:abstractNumId w:val="6"/>
  </w:num>
  <w:num w:numId="13">
    <w:abstractNumId w:val="2"/>
  </w:num>
  <w:num w:numId="14">
    <w:abstractNumId w:val="35"/>
  </w:num>
  <w:num w:numId="15">
    <w:abstractNumId w:val="37"/>
  </w:num>
  <w:num w:numId="16">
    <w:abstractNumId w:val="24"/>
  </w:num>
  <w:num w:numId="17">
    <w:abstractNumId w:val="18"/>
  </w:num>
  <w:num w:numId="18">
    <w:abstractNumId w:val="13"/>
  </w:num>
  <w:num w:numId="19">
    <w:abstractNumId w:val="12"/>
  </w:num>
  <w:num w:numId="20">
    <w:abstractNumId w:val="0"/>
  </w:num>
  <w:num w:numId="21">
    <w:abstractNumId w:val="1"/>
  </w:num>
  <w:num w:numId="22">
    <w:abstractNumId w:val="34"/>
  </w:num>
  <w:num w:numId="23">
    <w:abstractNumId w:val="9"/>
  </w:num>
  <w:num w:numId="24">
    <w:abstractNumId w:val="14"/>
  </w:num>
  <w:num w:numId="25">
    <w:abstractNumId w:val="32"/>
  </w:num>
  <w:num w:numId="26">
    <w:abstractNumId w:val="10"/>
  </w:num>
  <w:num w:numId="27">
    <w:abstractNumId w:val="31"/>
  </w:num>
  <w:num w:numId="28">
    <w:abstractNumId w:val="17"/>
  </w:num>
  <w:num w:numId="29">
    <w:abstractNumId w:val="22"/>
  </w:num>
  <w:num w:numId="30">
    <w:abstractNumId w:val="39"/>
  </w:num>
  <w:num w:numId="31">
    <w:abstractNumId w:val="40"/>
  </w:num>
  <w:num w:numId="32">
    <w:abstractNumId w:val="41"/>
  </w:num>
  <w:num w:numId="33">
    <w:abstractNumId w:val="21"/>
  </w:num>
  <w:num w:numId="34">
    <w:abstractNumId w:val="28"/>
  </w:num>
  <w:num w:numId="35">
    <w:abstractNumId w:val="29"/>
  </w:num>
  <w:num w:numId="36">
    <w:abstractNumId w:val="38"/>
  </w:num>
  <w:num w:numId="37">
    <w:abstractNumId w:val="19"/>
  </w:num>
  <w:num w:numId="38">
    <w:abstractNumId w:val="20"/>
  </w:num>
  <w:num w:numId="39">
    <w:abstractNumId w:val="30"/>
  </w:num>
  <w:num w:numId="40">
    <w:abstractNumId w:val="16"/>
  </w:num>
  <w:num w:numId="41">
    <w:abstractNumId w:val="8"/>
  </w:num>
  <w:num w:numId="42">
    <w:abstractNumId w:val="2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56"/>
    <w:rsid w:val="00002BEE"/>
    <w:rsid w:val="0000492D"/>
    <w:rsid w:val="00005F1F"/>
    <w:rsid w:val="000078C0"/>
    <w:rsid w:val="000173CC"/>
    <w:rsid w:val="000617E2"/>
    <w:rsid w:val="0008709D"/>
    <w:rsid w:val="000B46D8"/>
    <w:rsid w:val="000E68E8"/>
    <w:rsid w:val="000F1EF2"/>
    <w:rsid w:val="00282B5E"/>
    <w:rsid w:val="002F7BF3"/>
    <w:rsid w:val="00374303"/>
    <w:rsid w:val="003A63CC"/>
    <w:rsid w:val="003C6364"/>
    <w:rsid w:val="003D55A9"/>
    <w:rsid w:val="00480290"/>
    <w:rsid w:val="004D2985"/>
    <w:rsid w:val="0051225B"/>
    <w:rsid w:val="00527E5E"/>
    <w:rsid w:val="0053085B"/>
    <w:rsid w:val="00571F03"/>
    <w:rsid w:val="00592460"/>
    <w:rsid w:val="00595843"/>
    <w:rsid w:val="005A369B"/>
    <w:rsid w:val="005D2364"/>
    <w:rsid w:val="005D4CE7"/>
    <w:rsid w:val="006235BA"/>
    <w:rsid w:val="00646331"/>
    <w:rsid w:val="00647307"/>
    <w:rsid w:val="0065232C"/>
    <w:rsid w:val="0066350F"/>
    <w:rsid w:val="00683256"/>
    <w:rsid w:val="006D0FA4"/>
    <w:rsid w:val="006F6FF6"/>
    <w:rsid w:val="007327EE"/>
    <w:rsid w:val="00762373"/>
    <w:rsid w:val="0076279A"/>
    <w:rsid w:val="007D1016"/>
    <w:rsid w:val="007F1087"/>
    <w:rsid w:val="007F4EBD"/>
    <w:rsid w:val="0081176D"/>
    <w:rsid w:val="008800C4"/>
    <w:rsid w:val="008E672E"/>
    <w:rsid w:val="009222F1"/>
    <w:rsid w:val="009370BA"/>
    <w:rsid w:val="009503F6"/>
    <w:rsid w:val="00981D61"/>
    <w:rsid w:val="009C52F9"/>
    <w:rsid w:val="00A00D8B"/>
    <w:rsid w:val="00A33020"/>
    <w:rsid w:val="00B94D03"/>
    <w:rsid w:val="00B95405"/>
    <w:rsid w:val="00BE366B"/>
    <w:rsid w:val="00C34154"/>
    <w:rsid w:val="00C501F1"/>
    <w:rsid w:val="00C65984"/>
    <w:rsid w:val="00C92191"/>
    <w:rsid w:val="00CE2E68"/>
    <w:rsid w:val="00CE4F03"/>
    <w:rsid w:val="00D31969"/>
    <w:rsid w:val="00D82CF8"/>
    <w:rsid w:val="00E718B8"/>
    <w:rsid w:val="00E94A31"/>
    <w:rsid w:val="00F0193B"/>
    <w:rsid w:val="00F13DCD"/>
    <w:rsid w:val="00F16D7B"/>
    <w:rsid w:val="00F273D0"/>
    <w:rsid w:val="00F606D9"/>
    <w:rsid w:val="00FB522B"/>
    <w:rsid w:val="00FD0096"/>
    <w:rsid w:val="00FD0D1C"/>
    <w:rsid w:val="00FD4210"/>
    <w:rsid w:val="00FD64CA"/>
    <w:rsid w:val="00FE64FC"/>
    <w:rsid w:val="00FF14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6D"/>
    <w:pPr>
      <w:spacing w:after="200" w:line="276" w:lineRule="auto"/>
    </w:pPr>
    <w:rPr>
      <w:sz w:val="22"/>
      <w:szCs w:val="22"/>
      <w:lang w:eastAsia="en-US"/>
    </w:rPr>
  </w:style>
  <w:style w:type="paragraph" w:styleId="Heading1">
    <w:name w:val="heading 1"/>
    <w:basedOn w:val="Normal"/>
    <w:next w:val="Normal"/>
    <w:link w:val="Heading1Char"/>
    <w:qFormat/>
    <w:locked/>
    <w:rsid w:val="00FD0096"/>
    <w:pPr>
      <w:keepNext/>
      <w:spacing w:after="0" w:line="240" w:lineRule="auto"/>
      <w:jc w:val="right"/>
      <w:outlineLvl w:val="0"/>
    </w:pPr>
    <w:rPr>
      <w:rFonts w:ascii="Arial Narrow" w:eastAsia="Times New Roman" w:hAnsi="Arial Narrow"/>
      <w:sz w:val="20"/>
      <w:szCs w:val="20"/>
      <w:lang w:val="en-GB"/>
    </w:rPr>
  </w:style>
  <w:style w:type="paragraph" w:styleId="Heading2">
    <w:name w:val="heading 2"/>
    <w:basedOn w:val="Normal"/>
    <w:next w:val="Normal"/>
    <w:link w:val="Heading2Char"/>
    <w:unhideWhenUsed/>
    <w:qFormat/>
    <w:locked/>
    <w:rsid w:val="00FD64C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locked/>
    <w:rsid w:val="00FD0096"/>
    <w:pPr>
      <w:keepNext/>
      <w:spacing w:after="0" w:line="240" w:lineRule="auto"/>
      <w:outlineLvl w:val="2"/>
    </w:pPr>
    <w:rPr>
      <w:rFonts w:ascii="Arial Narrow" w:eastAsia="Times New Roman" w:hAnsi="Arial Narrow"/>
      <w:b/>
      <w:bCs/>
      <w:sz w:val="24"/>
      <w:szCs w:val="20"/>
      <w:lang w:val="es-NI"/>
    </w:rPr>
  </w:style>
  <w:style w:type="paragraph" w:styleId="Heading4">
    <w:name w:val="heading 4"/>
    <w:basedOn w:val="Normal"/>
    <w:next w:val="Normal"/>
    <w:link w:val="Heading4Char"/>
    <w:qFormat/>
    <w:locked/>
    <w:rsid w:val="00FD0096"/>
    <w:pPr>
      <w:keepNext/>
      <w:spacing w:before="40" w:after="40" w:line="240" w:lineRule="auto"/>
      <w:ind w:left="-104" w:right="-108"/>
      <w:jc w:val="center"/>
      <w:outlineLvl w:val="3"/>
    </w:pPr>
    <w:rPr>
      <w:rFonts w:ascii="Arial Narrow" w:eastAsia="Times New Roman" w:hAnsi="Arial Narrow"/>
      <w:b/>
      <w:sz w:val="20"/>
      <w:szCs w:val="20"/>
      <w:lang w:val="en-GB"/>
    </w:rPr>
  </w:style>
  <w:style w:type="paragraph" w:styleId="Heading5">
    <w:name w:val="heading 5"/>
    <w:basedOn w:val="Normal"/>
    <w:next w:val="Normal"/>
    <w:link w:val="Heading5Char"/>
    <w:qFormat/>
    <w:locked/>
    <w:rsid w:val="00FD0096"/>
    <w:pPr>
      <w:keepNext/>
      <w:spacing w:before="40" w:after="40" w:line="240" w:lineRule="auto"/>
      <w:jc w:val="right"/>
      <w:outlineLvl w:val="4"/>
    </w:pPr>
    <w:rPr>
      <w:rFonts w:ascii="Arial Narrow" w:eastAsia="Times New Roman" w:hAnsi="Arial Narrow"/>
      <w:b/>
      <w:bCs/>
      <w:szCs w:val="20"/>
      <w:lang w:val="en-GB"/>
    </w:rPr>
  </w:style>
  <w:style w:type="paragraph" w:styleId="Heading6">
    <w:name w:val="heading 6"/>
    <w:basedOn w:val="Normal"/>
    <w:next w:val="Normal"/>
    <w:link w:val="Heading6Char"/>
    <w:unhideWhenUsed/>
    <w:qFormat/>
    <w:locked/>
    <w:rsid w:val="00002B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225B"/>
    <w:pPr>
      <w:tabs>
        <w:tab w:val="center" w:pos="4536"/>
        <w:tab w:val="right" w:pos="9781"/>
      </w:tabs>
      <w:spacing w:after="0" w:line="240" w:lineRule="auto"/>
      <w:ind w:left="-1276" w:right="-567"/>
    </w:pPr>
    <w:rPr>
      <w:sz w:val="16"/>
      <w:szCs w:val="16"/>
    </w:rPr>
  </w:style>
  <w:style w:type="character" w:customStyle="1" w:styleId="HeaderChar">
    <w:name w:val="Header Char"/>
    <w:link w:val="Header"/>
    <w:uiPriority w:val="99"/>
    <w:locked/>
    <w:rsid w:val="0051225B"/>
    <w:rPr>
      <w:sz w:val="16"/>
      <w:szCs w:val="16"/>
      <w:lang w:eastAsia="en-US"/>
    </w:rPr>
  </w:style>
  <w:style w:type="paragraph" w:styleId="Footer">
    <w:name w:val="footer"/>
    <w:basedOn w:val="Normal"/>
    <w:link w:val="FooterChar"/>
    <w:uiPriority w:val="99"/>
    <w:rsid w:val="00683256"/>
    <w:pPr>
      <w:tabs>
        <w:tab w:val="center" w:pos="4536"/>
        <w:tab w:val="right" w:pos="9072"/>
      </w:tabs>
      <w:spacing w:after="0" w:line="240" w:lineRule="auto"/>
    </w:pPr>
  </w:style>
  <w:style w:type="character" w:customStyle="1" w:styleId="FooterChar">
    <w:name w:val="Footer Char"/>
    <w:link w:val="Footer"/>
    <w:uiPriority w:val="99"/>
    <w:locked/>
    <w:rsid w:val="00683256"/>
    <w:rPr>
      <w:rFonts w:cs="Times New Roman"/>
    </w:rPr>
  </w:style>
  <w:style w:type="paragraph" w:styleId="BalloonText">
    <w:name w:val="Balloon Text"/>
    <w:basedOn w:val="Normal"/>
    <w:link w:val="BalloonTextChar"/>
    <w:uiPriority w:val="99"/>
    <w:semiHidden/>
    <w:rsid w:val="006832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83256"/>
    <w:rPr>
      <w:rFonts w:ascii="Tahoma" w:hAnsi="Tahoma" w:cs="Tahoma"/>
      <w:sz w:val="16"/>
      <w:szCs w:val="16"/>
    </w:rPr>
  </w:style>
  <w:style w:type="character" w:styleId="Hyperlink">
    <w:name w:val="Hyperlink"/>
    <w:uiPriority w:val="99"/>
    <w:rsid w:val="009222F1"/>
    <w:rPr>
      <w:rFonts w:cs="Times New Roman"/>
      <w:color w:val="0000FF"/>
      <w:u w:val="single"/>
    </w:rPr>
  </w:style>
  <w:style w:type="paragraph" w:styleId="ListParagraph">
    <w:name w:val="List Paragraph"/>
    <w:basedOn w:val="Normal"/>
    <w:uiPriority w:val="34"/>
    <w:qFormat/>
    <w:rsid w:val="007F1087"/>
    <w:pPr>
      <w:ind w:left="720"/>
      <w:contextualSpacing/>
    </w:pPr>
  </w:style>
  <w:style w:type="paragraph" w:customStyle="1" w:styleId="Default">
    <w:name w:val="Default"/>
    <w:rsid w:val="007F1087"/>
    <w:pPr>
      <w:autoSpaceDE w:val="0"/>
      <w:autoSpaceDN w:val="0"/>
      <w:adjustRightInd w:val="0"/>
    </w:pPr>
    <w:rPr>
      <w:rFonts w:cs="Calibri"/>
      <w:color w:val="000000"/>
      <w:sz w:val="24"/>
      <w:szCs w:val="24"/>
      <w:lang w:eastAsia="en-US"/>
    </w:rPr>
  </w:style>
  <w:style w:type="paragraph" w:styleId="NoSpacing">
    <w:name w:val="No Spacing"/>
    <w:link w:val="NoSpacingChar"/>
    <w:uiPriority w:val="1"/>
    <w:qFormat/>
    <w:rsid w:val="00F0193B"/>
    <w:rPr>
      <w:sz w:val="22"/>
      <w:szCs w:val="22"/>
      <w:lang w:eastAsia="en-US"/>
    </w:rPr>
  </w:style>
  <w:style w:type="character" w:customStyle="1" w:styleId="bold">
    <w:name w:val="bold"/>
    <w:rsid w:val="00F0193B"/>
  </w:style>
  <w:style w:type="character" w:styleId="CommentReference">
    <w:name w:val="annotation reference"/>
    <w:uiPriority w:val="99"/>
    <w:semiHidden/>
    <w:unhideWhenUsed/>
    <w:rsid w:val="003A63CC"/>
    <w:rPr>
      <w:sz w:val="16"/>
      <w:szCs w:val="16"/>
    </w:rPr>
  </w:style>
  <w:style w:type="paragraph" w:styleId="CommentText">
    <w:name w:val="annotation text"/>
    <w:basedOn w:val="Normal"/>
    <w:link w:val="CommentTextChar"/>
    <w:uiPriority w:val="99"/>
    <w:semiHidden/>
    <w:unhideWhenUsed/>
    <w:rsid w:val="003A63CC"/>
    <w:pPr>
      <w:spacing w:line="240" w:lineRule="auto"/>
    </w:pPr>
    <w:rPr>
      <w:sz w:val="20"/>
      <w:szCs w:val="20"/>
      <w:lang w:val="en-US"/>
    </w:rPr>
  </w:style>
  <w:style w:type="character" w:customStyle="1" w:styleId="CommentTextChar">
    <w:name w:val="Comment Text Char"/>
    <w:link w:val="CommentText"/>
    <w:uiPriority w:val="99"/>
    <w:semiHidden/>
    <w:rsid w:val="003A63CC"/>
    <w:rPr>
      <w:sz w:val="20"/>
      <w:szCs w:val="20"/>
      <w:lang w:val="en-US" w:eastAsia="en-US"/>
    </w:rPr>
  </w:style>
  <w:style w:type="character" w:customStyle="1" w:styleId="Heading1Char">
    <w:name w:val="Heading 1 Char"/>
    <w:link w:val="Heading1"/>
    <w:rsid w:val="00FD0096"/>
    <w:rPr>
      <w:rFonts w:ascii="Arial Narrow" w:eastAsia="Times New Roman" w:hAnsi="Arial Narrow"/>
      <w:sz w:val="20"/>
      <w:szCs w:val="20"/>
      <w:lang w:val="en-GB" w:eastAsia="en-US"/>
    </w:rPr>
  </w:style>
  <w:style w:type="character" w:customStyle="1" w:styleId="Heading3Char">
    <w:name w:val="Heading 3 Char"/>
    <w:link w:val="Heading3"/>
    <w:rsid w:val="00FD0096"/>
    <w:rPr>
      <w:rFonts w:ascii="Arial Narrow" w:eastAsia="Times New Roman" w:hAnsi="Arial Narrow"/>
      <w:b/>
      <w:bCs/>
      <w:sz w:val="24"/>
      <w:szCs w:val="20"/>
      <w:lang w:val="es-NI" w:eastAsia="en-US"/>
    </w:rPr>
  </w:style>
  <w:style w:type="character" w:customStyle="1" w:styleId="Heading4Char">
    <w:name w:val="Heading 4 Char"/>
    <w:link w:val="Heading4"/>
    <w:rsid w:val="00FD0096"/>
    <w:rPr>
      <w:rFonts w:ascii="Arial Narrow" w:eastAsia="Times New Roman" w:hAnsi="Arial Narrow"/>
      <w:b/>
      <w:sz w:val="20"/>
      <w:szCs w:val="20"/>
      <w:lang w:val="en-GB" w:eastAsia="en-US"/>
    </w:rPr>
  </w:style>
  <w:style w:type="character" w:customStyle="1" w:styleId="Heading5Char">
    <w:name w:val="Heading 5 Char"/>
    <w:link w:val="Heading5"/>
    <w:rsid w:val="00FD0096"/>
    <w:rPr>
      <w:rFonts w:ascii="Arial Narrow" w:eastAsia="Times New Roman" w:hAnsi="Arial Narrow"/>
      <w:b/>
      <w:bCs/>
      <w:szCs w:val="20"/>
      <w:lang w:val="en-GB" w:eastAsia="en-US"/>
    </w:rPr>
  </w:style>
  <w:style w:type="character" w:customStyle="1" w:styleId="NoSpacingChar">
    <w:name w:val="No Spacing Char"/>
    <w:link w:val="NoSpacing"/>
    <w:uiPriority w:val="1"/>
    <w:rsid w:val="00FD0096"/>
    <w:rPr>
      <w:lang w:eastAsia="en-US"/>
    </w:rPr>
  </w:style>
  <w:style w:type="character" w:styleId="Strong">
    <w:name w:val="Strong"/>
    <w:uiPriority w:val="22"/>
    <w:qFormat/>
    <w:locked/>
    <w:rsid w:val="00FD0096"/>
    <w:rPr>
      <w:b/>
      <w:bCs/>
    </w:rPr>
  </w:style>
  <w:style w:type="paragraph" w:customStyle="1" w:styleId="Normal1">
    <w:name w:val="Normal1"/>
    <w:rsid w:val="00FD0096"/>
    <w:pPr>
      <w:spacing w:line="276" w:lineRule="auto"/>
    </w:pPr>
    <w:rPr>
      <w:rFonts w:ascii="Arial" w:eastAsia="Arial" w:hAnsi="Arial" w:cs="Arial"/>
      <w:color w:val="000000"/>
      <w:sz w:val="22"/>
      <w:szCs w:val="22"/>
    </w:rPr>
  </w:style>
  <w:style w:type="character" w:customStyle="1" w:styleId="apple-converted-space">
    <w:name w:val="apple-converted-space"/>
    <w:rsid w:val="00FD0096"/>
  </w:style>
  <w:style w:type="character" w:customStyle="1" w:styleId="hps">
    <w:name w:val="hps"/>
    <w:rsid w:val="00FD0096"/>
  </w:style>
  <w:style w:type="character" w:customStyle="1" w:styleId="FootnoteCharacters">
    <w:name w:val="Footnote Characters"/>
    <w:rsid w:val="00FD0096"/>
    <w:rPr>
      <w:vertAlign w:val="superscript"/>
    </w:rPr>
  </w:style>
  <w:style w:type="paragraph" w:styleId="FootnoteText">
    <w:name w:val="footnote text"/>
    <w:basedOn w:val="Normal"/>
    <w:link w:val="FootnoteTextChar"/>
    <w:rsid w:val="00FD0096"/>
    <w:pPr>
      <w:widowControl w:val="0"/>
      <w:suppressAutoHyphens/>
      <w:spacing w:after="0" w:line="240" w:lineRule="auto"/>
    </w:pPr>
    <w:rPr>
      <w:rFonts w:ascii="Liberation Serif" w:eastAsia="SimSun" w:hAnsi="Liberation Serif" w:cs="Mangal"/>
      <w:kern w:val="1"/>
      <w:sz w:val="20"/>
      <w:szCs w:val="20"/>
      <w:lang w:eastAsia="zh-CN" w:bidi="hi-IN"/>
    </w:rPr>
  </w:style>
  <w:style w:type="character" w:customStyle="1" w:styleId="FootnoteTextChar">
    <w:name w:val="Footnote Text Char"/>
    <w:link w:val="FootnoteText"/>
    <w:rsid w:val="00FD0096"/>
    <w:rPr>
      <w:rFonts w:ascii="Liberation Serif" w:eastAsia="SimSun" w:hAnsi="Liberation Serif" w:cs="Mangal"/>
      <w:kern w:val="1"/>
      <w:sz w:val="20"/>
      <w:szCs w:val="20"/>
      <w:lang w:eastAsia="zh-CN" w:bidi="hi-IN"/>
    </w:rPr>
  </w:style>
  <w:style w:type="paragraph" w:styleId="CommentSubject">
    <w:name w:val="annotation subject"/>
    <w:basedOn w:val="CommentText"/>
    <w:next w:val="CommentText"/>
    <w:link w:val="CommentSubjectChar"/>
    <w:uiPriority w:val="99"/>
    <w:semiHidden/>
    <w:unhideWhenUsed/>
    <w:rsid w:val="00FD0096"/>
    <w:pPr>
      <w:suppressAutoHyphens/>
      <w:spacing w:after="0"/>
    </w:pPr>
    <w:rPr>
      <w:rFonts w:ascii="Arial Narrow" w:eastAsia="Times New Roman" w:hAnsi="Arial Narrow"/>
      <w:b/>
      <w:bCs/>
      <w:lang w:eastAsia="ar-SA"/>
    </w:rPr>
  </w:style>
  <w:style w:type="character" w:customStyle="1" w:styleId="CommentSubjectChar">
    <w:name w:val="Comment Subject Char"/>
    <w:link w:val="CommentSubject"/>
    <w:uiPriority w:val="99"/>
    <w:semiHidden/>
    <w:rsid w:val="00FD0096"/>
    <w:rPr>
      <w:rFonts w:ascii="Arial Narrow" w:eastAsia="Times New Roman" w:hAnsi="Arial Narrow"/>
      <w:b/>
      <w:bCs/>
      <w:sz w:val="20"/>
      <w:szCs w:val="20"/>
      <w:lang w:val="en-US" w:eastAsia="ar-SA"/>
    </w:rPr>
  </w:style>
  <w:style w:type="character" w:customStyle="1" w:styleId="Heading2Char">
    <w:name w:val="Heading 2 Char"/>
    <w:link w:val="Heading2"/>
    <w:rsid w:val="00FD64CA"/>
    <w:rPr>
      <w:rFonts w:ascii="Cambria" w:eastAsia="Times New Roman" w:hAnsi="Cambria" w:cs="Times New Roman"/>
      <w:b/>
      <w:bCs/>
      <w:i/>
      <w:iCs/>
      <w:sz w:val="28"/>
      <w:szCs w:val="28"/>
      <w:lang w:eastAsia="en-US"/>
    </w:rPr>
  </w:style>
  <w:style w:type="paragraph" w:styleId="TOCHeading">
    <w:name w:val="TOC Heading"/>
    <w:basedOn w:val="Heading1"/>
    <w:next w:val="Normal"/>
    <w:uiPriority w:val="39"/>
    <w:unhideWhenUsed/>
    <w:qFormat/>
    <w:rsid w:val="00FD64CA"/>
    <w:pPr>
      <w:keepLines/>
      <w:spacing w:before="480" w:line="276" w:lineRule="auto"/>
      <w:jc w:val="left"/>
      <w:outlineLvl w:val="9"/>
    </w:pPr>
    <w:rPr>
      <w:rFonts w:ascii="Cambria" w:eastAsia="MS Gothic" w:hAnsi="Cambria"/>
      <w:b/>
      <w:bCs/>
      <w:color w:val="365F91"/>
      <w:sz w:val="28"/>
      <w:szCs w:val="28"/>
      <w:lang w:val="en-US" w:eastAsia="ja-JP"/>
    </w:rPr>
  </w:style>
  <w:style w:type="paragraph" w:styleId="TOC1">
    <w:name w:val="toc 1"/>
    <w:basedOn w:val="Normal"/>
    <w:next w:val="Normal"/>
    <w:autoRedefine/>
    <w:uiPriority w:val="39"/>
    <w:qFormat/>
    <w:locked/>
    <w:rsid w:val="00FD64CA"/>
  </w:style>
  <w:style w:type="paragraph" w:styleId="TOC2">
    <w:name w:val="toc 2"/>
    <w:basedOn w:val="Normal"/>
    <w:next w:val="Normal"/>
    <w:autoRedefine/>
    <w:uiPriority w:val="39"/>
    <w:qFormat/>
    <w:locked/>
    <w:rsid w:val="00A00D8B"/>
    <w:pPr>
      <w:tabs>
        <w:tab w:val="right" w:leader="dot" w:pos="9204"/>
      </w:tabs>
      <w:jc w:val="both"/>
    </w:pPr>
    <w:rPr>
      <w:b/>
      <w:noProof/>
    </w:rPr>
  </w:style>
  <w:style w:type="character" w:styleId="FootnoteReference">
    <w:name w:val="footnote reference"/>
    <w:aliases w:val="(Footnote Reference),number"/>
    <w:basedOn w:val="DefaultParagraphFont"/>
    <w:uiPriority w:val="99"/>
    <w:unhideWhenUsed/>
    <w:rsid w:val="00762373"/>
    <w:rPr>
      <w:vertAlign w:val="superscript"/>
    </w:rPr>
  </w:style>
  <w:style w:type="character" w:styleId="Emphasis">
    <w:name w:val="Emphasis"/>
    <w:basedOn w:val="DefaultParagraphFont"/>
    <w:qFormat/>
    <w:locked/>
    <w:rsid w:val="0053085B"/>
    <w:rPr>
      <w:i/>
      <w:iCs/>
    </w:rPr>
  </w:style>
  <w:style w:type="paragraph" w:styleId="Title">
    <w:name w:val="Title"/>
    <w:basedOn w:val="Normal"/>
    <w:next w:val="Normal"/>
    <w:link w:val="TitleChar"/>
    <w:qFormat/>
    <w:locked/>
    <w:rsid w:val="005308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085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6Char">
    <w:name w:val="Heading 6 Char"/>
    <w:basedOn w:val="DefaultParagraphFont"/>
    <w:link w:val="Heading6"/>
    <w:rsid w:val="00002BEE"/>
    <w:rPr>
      <w:rFonts w:asciiTheme="majorHAnsi" w:eastAsiaTheme="majorEastAsia" w:hAnsiTheme="majorHAnsi" w:cstheme="majorBidi"/>
      <w:i/>
      <w:iCs/>
      <w:color w:val="243F60" w:themeColor="accent1" w:themeShade="7F"/>
      <w:sz w:val="22"/>
      <w:szCs w:val="22"/>
      <w:lang w:eastAsia="en-US"/>
    </w:rPr>
  </w:style>
  <w:style w:type="paragraph" w:styleId="Subtitle">
    <w:name w:val="Subtitle"/>
    <w:basedOn w:val="Normal"/>
    <w:next w:val="Normal"/>
    <w:link w:val="SubtitleChar"/>
    <w:qFormat/>
    <w:locked/>
    <w:rsid w:val="00002B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02BEE"/>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qFormat/>
    <w:rsid w:val="00002BEE"/>
    <w:rPr>
      <w:b/>
      <w:bCs/>
      <w:i/>
      <w:iCs/>
      <w:color w:val="4F81BD" w:themeColor="accent1"/>
    </w:rPr>
  </w:style>
  <w:style w:type="paragraph" w:styleId="TOC3">
    <w:name w:val="toc 3"/>
    <w:basedOn w:val="Normal"/>
    <w:next w:val="Normal"/>
    <w:autoRedefine/>
    <w:uiPriority w:val="39"/>
    <w:unhideWhenUsed/>
    <w:qFormat/>
    <w:locked/>
    <w:rsid w:val="00002BEE"/>
    <w:pPr>
      <w:spacing w:after="100"/>
      <w:ind w:left="440"/>
    </w:pPr>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6D"/>
    <w:pPr>
      <w:spacing w:after="200" w:line="276" w:lineRule="auto"/>
    </w:pPr>
    <w:rPr>
      <w:sz w:val="22"/>
      <w:szCs w:val="22"/>
      <w:lang w:eastAsia="en-US"/>
    </w:rPr>
  </w:style>
  <w:style w:type="paragraph" w:styleId="Heading1">
    <w:name w:val="heading 1"/>
    <w:basedOn w:val="Normal"/>
    <w:next w:val="Normal"/>
    <w:link w:val="Heading1Char"/>
    <w:qFormat/>
    <w:locked/>
    <w:rsid w:val="00FD0096"/>
    <w:pPr>
      <w:keepNext/>
      <w:spacing w:after="0" w:line="240" w:lineRule="auto"/>
      <w:jc w:val="right"/>
      <w:outlineLvl w:val="0"/>
    </w:pPr>
    <w:rPr>
      <w:rFonts w:ascii="Arial Narrow" w:eastAsia="Times New Roman" w:hAnsi="Arial Narrow"/>
      <w:sz w:val="20"/>
      <w:szCs w:val="20"/>
      <w:lang w:val="en-GB"/>
    </w:rPr>
  </w:style>
  <w:style w:type="paragraph" w:styleId="Heading2">
    <w:name w:val="heading 2"/>
    <w:basedOn w:val="Normal"/>
    <w:next w:val="Normal"/>
    <w:link w:val="Heading2Char"/>
    <w:unhideWhenUsed/>
    <w:qFormat/>
    <w:locked/>
    <w:rsid w:val="00FD64C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locked/>
    <w:rsid w:val="00FD0096"/>
    <w:pPr>
      <w:keepNext/>
      <w:spacing w:after="0" w:line="240" w:lineRule="auto"/>
      <w:outlineLvl w:val="2"/>
    </w:pPr>
    <w:rPr>
      <w:rFonts w:ascii="Arial Narrow" w:eastAsia="Times New Roman" w:hAnsi="Arial Narrow"/>
      <w:b/>
      <w:bCs/>
      <w:sz w:val="24"/>
      <w:szCs w:val="20"/>
      <w:lang w:val="es-NI"/>
    </w:rPr>
  </w:style>
  <w:style w:type="paragraph" w:styleId="Heading4">
    <w:name w:val="heading 4"/>
    <w:basedOn w:val="Normal"/>
    <w:next w:val="Normal"/>
    <w:link w:val="Heading4Char"/>
    <w:qFormat/>
    <w:locked/>
    <w:rsid w:val="00FD0096"/>
    <w:pPr>
      <w:keepNext/>
      <w:spacing w:before="40" w:after="40" w:line="240" w:lineRule="auto"/>
      <w:ind w:left="-104" w:right="-108"/>
      <w:jc w:val="center"/>
      <w:outlineLvl w:val="3"/>
    </w:pPr>
    <w:rPr>
      <w:rFonts w:ascii="Arial Narrow" w:eastAsia="Times New Roman" w:hAnsi="Arial Narrow"/>
      <w:b/>
      <w:sz w:val="20"/>
      <w:szCs w:val="20"/>
      <w:lang w:val="en-GB"/>
    </w:rPr>
  </w:style>
  <w:style w:type="paragraph" w:styleId="Heading5">
    <w:name w:val="heading 5"/>
    <w:basedOn w:val="Normal"/>
    <w:next w:val="Normal"/>
    <w:link w:val="Heading5Char"/>
    <w:qFormat/>
    <w:locked/>
    <w:rsid w:val="00FD0096"/>
    <w:pPr>
      <w:keepNext/>
      <w:spacing w:before="40" w:after="40" w:line="240" w:lineRule="auto"/>
      <w:jc w:val="right"/>
      <w:outlineLvl w:val="4"/>
    </w:pPr>
    <w:rPr>
      <w:rFonts w:ascii="Arial Narrow" w:eastAsia="Times New Roman" w:hAnsi="Arial Narrow"/>
      <w:b/>
      <w:bCs/>
      <w:szCs w:val="20"/>
      <w:lang w:val="en-GB"/>
    </w:rPr>
  </w:style>
  <w:style w:type="paragraph" w:styleId="Heading6">
    <w:name w:val="heading 6"/>
    <w:basedOn w:val="Normal"/>
    <w:next w:val="Normal"/>
    <w:link w:val="Heading6Char"/>
    <w:unhideWhenUsed/>
    <w:qFormat/>
    <w:locked/>
    <w:rsid w:val="00002B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225B"/>
    <w:pPr>
      <w:tabs>
        <w:tab w:val="center" w:pos="4536"/>
        <w:tab w:val="right" w:pos="9781"/>
      </w:tabs>
      <w:spacing w:after="0" w:line="240" w:lineRule="auto"/>
      <w:ind w:left="-1276" w:right="-567"/>
    </w:pPr>
    <w:rPr>
      <w:sz w:val="16"/>
      <w:szCs w:val="16"/>
    </w:rPr>
  </w:style>
  <w:style w:type="character" w:customStyle="1" w:styleId="HeaderChar">
    <w:name w:val="Header Char"/>
    <w:link w:val="Header"/>
    <w:uiPriority w:val="99"/>
    <w:locked/>
    <w:rsid w:val="0051225B"/>
    <w:rPr>
      <w:sz w:val="16"/>
      <w:szCs w:val="16"/>
      <w:lang w:eastAsia="en-US"/>
    </w:rPr>
  </w:style>
  <w:style w:type="paragraph" w:styleId="Footer">
    <w:name w:val="footer"/>
    <w:basedOn w:val="Normal"/>
    <w:link w:val="FooterChar"/>
    <w:uiPriority w:val="99"/>
    <w:rsid w:val="00683256"/>
    <w:pPr>
      <w:tabs>
        <w:tab w:val="center" w:pos="4536"/>
        <w:tab w:val="right" w:pos="9072"/>
      </w:tabs>
      <w:spacing w:after="0" w:line="240" w:lineRule="auto"/>
    </w:pPr>
  </w:style>
  <w:style w:type="character" w:customStyle="1" w:styleId="FooterChar">
    <w:name w:val="Footer Char"/>
    <w:link w:val="Footer"/>
    <w:uiPriority w:val="99"/>
    <w:locked/>
    <w:rsid w:val="00683256"/>
    <w:rPr>
      <w:rFonts w:cs="Times New Roman"/>
    </w:rPr>
  </w:style>
  <w:style w:type="paragraph" w:styleId="BalloonText">
    <w:name w:val="Balloon Text"/>
    <w:basedOn w:val="Normal"/>
    <w:link w:val="BalloonTextChar"/>
    <w:uiPriority w:val="99"/>
    <w:semiHidden/>
    <w:rsid w:val="006832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83256"/>
    <w:rPr>
      <w:rFonts w:ascii="Tahoma" w:hAnsi="Tahoma" w:cs="Tahoma"/>
      <w:sz w:val="16"/>
      <w:szCs w:val="16"/>
    </w:rPr>
  </w:style>
  <w:style w:type="character" w:styleId="Hyperlink">
    <w:name w:val="Hyperlink"/>
    <w:uiPriority w:val="99"/>
    <w:rsid w:val="009222F1"/>
    <w:rPr>
      <w:rFonts w:cs="Times New Roman"/>
      <w:color w:val="0000FF"/>
      <w:u w:val="single"/>
    </w:rPr>
  </w:style>
  <w:style w:type="paragraph" w:styleId="ListParagraph">
    <w:name w:val="List Paragraph"/>
    <w:basedOn w:val="Normal"/>
    <w:uiPriority w:val="34"/>
    <w:qFormat/>
    <w:rsid w:val="007F1087"/>
    <w:pPr>
      <w:ind w:left="720"/>
      <w:contextualSpacing/>
    </w:pPr>
  </w:style>
  <w:style w:type="paragraph" w:customStyle="1" w:styleId="Default">
    <w:name w:val="Default"/>
    <w:rsid w:val="007F1087"/>
    <w:pPr>
      <w:autoSpaceDE w:val="0"/>
      <w:autoSpaceDN w:val="0"/>
      <w:adjustRightInd w:val="0"/>
    </w:pPr>
    <w:rPr>
      <w:rFonts w:cs="Calibri"/>
      <w:color w:val="000000"/>
      <w:sz w:val="24"/>
      <w:szCs w:val="24"/>
      <w:lang w:eastAsia="en-US"/>
    </w:rPr>
  </w:style>
  <w:style w:type="paragraph" w:styleId="NoSpacing">
    <w:name w:val="No Spacing"/>
    <w:link w:val="NoSpacingChar"/>
    <w:uiPriority w:val="1"/>
    <w:qFormat/>
    <w:rsid w:val="00F0193B"/>
    <w:rPr>
      <w:sz w:val="22"/>
      <w:szCs w:val="22"/>
      <w:lang w:eastAsia="en-US"/>
    </w:rPr>
  </w:style>
  <w:style w:type="character" w:customStyle="1" w:styleId="bold">
    <w:name w:val="bold"/>
    <w:rsid w:val="00F0193B"/>
  </w:style>
  <w:style w:type="character" w:styleId="CommentReference">
    <w:name w:val="annotation reference"/>
    <w:uiPriority w:val="99"/>
    <w:semiHidden/>
    <w:unhideWhenUsed/>
    <w:rsid w:val="003A63CC"/>
    <w:rPr>
      <w:sz w:val="16"/>
      <w:szCs w:val="16"/>
    </w:rPr>
  </w:style>
  <w:style w:type="paragraph" w:styleId="CommentText">
    <w:name w:val="annotation text"/>
    <w:basedOn w:val="Normal"/>
    <w:link w:val="CommentTextChar"/>
    <w:uiPriority w:val="99"/>
    <w:semiHidden/>
    <w:unhideWhenUsed/>
    <w:rsid w:val="003A63CC"/>
    <w:pPr>
      <w:spacing w:line="240" w:lineRule="auto"/>
    </w:pPr>
    <w:rPr>
      <w:sz w:val="20"/>
      <w:szCs w:val="20"/>
      <w:lang w:val="en-US"/>
    </w:rPr>
  </w:style>
  <w:style w:type="character" w:customStyle="1" w:styleId="CommentTextChar">
    <w:name w:val="Comment Text Char"/>
    <w:link w:val="CommentText"/>
    <w:uiPriority w:val="99"/>
    <w:semiHidden/>
    <w:rsid w:val="003A63CC"/>
    <w:rPr>
      <w:sz w:val="20"/>
      <w:szCs w:val="20"/>
      <w:lang w:val="en-US" w:eastAsia="en-US"/>
    </w:rPr>
  </w:style>
  <w:style w:type="character" w:customStyle="1" w:styleId="Heading1Char">
    <w:name w:val="Heading 1 Char"/>
    <w:link w:val="Heading1"/>
    <w:rsid w:val="00FD0096"/>
    <w:rPr>
      <w:rFonts w:ascii="Arial Narrow" w:eastAsia="Times New Roman" w:hAnsi="Arial Narrow"/>
      <w:sz w:val="20"/>
      <w:szCs w:val="20"/>
      <w:lang w:val="en-GB" w:eastAsia="en-US"/>
    </w:rPr>
  </w:style>
  <w:style w:type="character" w:customStyle="1" w:styleId="Heading3Char">
    <w:name w:val="Heading 3 Char"/>
    <w:link w:val="Heading3"/>
    <w:rsid w:val="00FD0096"/>
    <w:rPr>
      <w:rFonts w:ascii="Arial Narrow" w:eastAsia="Times New Roman" w:hAnsi="Arial Narrow"/>
      <w:b/>
      <w:bCs/>
      <w:sz w:val="24"/>
      <w:szCs w:val="20"/>
      <w:lang w:val="es-NI" w:eastAsia="en-US"/>
    </w:rPr>
  </w:style>
  <w:style w:type="character" w:customStyle="1" w:styleId="Heading4Char">
    <w:name w:val="Heading 4 Char"/>
    <w:link w:val="Heading4"/>
    <w:rsid w:val="00FD0096"/>
    <w:rPr>
      <w:rFonts w:ascii="Arial Narrow" w:eastAsia="Times New Roman" w:hAnsi="Arial Narrow"/>
      <w:b/>
      <w:sz w:val="20"/>
      <w:szCs w:val="20"/>
      <w:lang w:val="en-GB" w:eastAsia="en-US"/>
    </w:rPr>
  </w:style>
  <w:style w:type="character" w:customStyle="1" w:styleId="Heading5Char">
    <w:name w:val="Heading 5 Char"/>
    <w:link w:val="Heading5"/>
    <w:rsid w:val="00FD0096"/>
    <w:rPr>
      <w:rFonts w:ascii="Arial Narrow" w:eastAsia="Times New Roman" w:hAnsi="Arial Narrow"/>
      <w:b/>
      <w:bCs/>
      <w:szCs w:val="20"/>
      <w:lang w:val="en-GB" w:eastAsia="en-US"/>
    </w:rPr>
  </w:style>
  <w:style w:type="character" w:customStyle="1" w:styleId="NoSpacingChar">
    <w:name w:val="No Spacing Char"/>
    <w:link w:val="NoSpacing"/>
    <w:uiPriority w:val="1"/>
    <w:rsid w:val="00FD0096"/>
    <w:rPr>
      <w:lang w:eastAsia="en-US"/>
    </w:rPr>
  </w:style>
  <w:style w:type="character" w:styleId="Strong">
    <w:name w:val="Strong"/>
    <w:uiPriority w:val="22"/>
    <w:qFormat/>
    <w:locked/>
    <w:rsid w:val="00FD0096"/>
    <w:rPr>
      <w:b/>
      <w:bCs/>
    </w:rPr>
  </w:style>
  <w:style w:type="paragraph" w:customStyle="1" w:styleId="Normal1">
    <w:name w:val="Normal1"/>
    <w:rsid w:val="00FD0096"/>
    <w:pPr>
      <w:spacing w:line="276" w:lineRule="auto"/>
    </w:pPr>
    <w:rPr>
      <w:rFonts w:ascii="Arial" w:eastAsia="Arial" w:hAnsi="Arial" w:cs="Arial"/>
      <w:color w:val="000000"/>
      <w:sz w:val="22"/>
      <w:szCs w:val="22"/>
    </w:rPr>
  </w:style>
  <w:style w:type="character" w:customStyle="1" w:styleId="apple-converted-space">
    <w:name w:val="apple-converted-space"/>
    <w:rsid w:val="00FD0096"/>
  </w:style>
  <w:style w:type="character" w:customStyle="1" w:styleId="hps">
    <w:name w:val="hps"/>
    <w:rsid w:val="00FD0096"/>
  </w:style>
  <w:style w:type="character" w:customStyle="1" w:styleId="FootnoteCharacters">
    <w:name w:val="Footnote Characters"/>
    <w:rsid w:val="00FD0096"/>
    <w:rPr>
      <w:vertAlign w:val="superscript"/>
    </w:rPr>
  </w:style>
  <w:style w:type="paragraph" w:styleId="FootnoteText">
    <w:name w:val="footnote text"/>
    <w:basedOn w:val="Normal"/>
    <w:link w:val="FootnoteTextChar"/>
    <w:rsid w:val="00FD0096"/>
    <w:pPr>
      <w:widowControl w:val="0"/>
      <w:suppressAutoHyphens/>
      <w:spacing w:after="0" w:line="240" w:lineRule="auto"/>
    </w:pPr>
    <w:rPr>
      <w:rFonts w:ascii="Liberation Serif" w:eastAsia="SimSun" w:hAnsi="Liberation Serif" w:cs="Mangal"/>
      <w:kern w:val="1"/>
      <w:sz w:val="20"/>
      <w:szCs w:val="20"/>
      <w:lang w:eastAsia="zh-CN" w:bidi="hi-IN"/>
    </w:rPr>
  </w:style>
  <w:style w:type="character" w:customStyle="1" w:styleId="FootnoteTextChar">
    <w:name w:val="Footnote Text Char"/>
    <w:link w:val="FootnoteText"/>
    <w:rsid w:val="00FD0096"/>
    <w:rPr>
      <w:rFonts w:ascii="Liberation Serif" w:eastAsia="SimSun" w:hAnsi="Liberation Serif" w:cs="Mangal"/>
      <w:kern w:val="1"/>
      <w:sz w:val="20"/>
      <w:szCs w:val="20"/>
      <w:lang w:eastAsia="zh-CN" w:bidi="hi-IN"/>
    </w:rPr>
  </w:style>
  <w:style w:type="paragraph" w:styleId="CommentSubject">
    <w:name w:val="annotation subject"/>
    <w:basedOn w:val="CommentText"/>
    <w:next w:val="CommentText"/>
    <w:link w:val="CommentSubjectChar"/>
    <w:uiPriority w:val="99"/>
    <w:semiHidden/>
    <w:unhideWhenUsed/>
    <w:rsid w:val="00FD0096"/>
    <w:pPr>
      <w:suppressAutoHyphens/>
      <w:spacing w:after="0"/>
    </w:pPr>
    <w:rPr>
      <w:rFonts w:ascii="Arial Narrow" w:eastAsia="Times New Roman" w:hAnsi="Arial Narrow"/>
      <w:b/>
      <w:bCs/>
      <w:lang w:eastAsia="ar-SA"/>
    </w:rPr>
  </w:style>
  <w:style w:type="character" w:customStyle="1" w:styleId="CommentSubjectChar">
    <w:name w:val="Comment Subject Char"/>
    <w:link w:val="CommentSubject"/>
    <w:uiPriority w:val="99"/>
    <w:semiHidden/>
    <w:rsid w:val="00FD0096"/>
    <w:rPr>
      <w:rFonts w:ascii="Arial Narrow" w:eastAsia="Times New Roman" w:hAnsi="Arial Narrow"/>
      <w:b/>
      <w:bCs/>
      <w:sz w:val="20"/>
      <w:szCs w:val="20"/>
      <w:lang w:val="en-US" w:eastAsia="ar-SA"/>
    </w:rPr>
  </w:style>
  <w:style w:type="character" w:customStyle="1" w:styleId="Heading2Char">
    <w:name w:val="Heading 2 Char"/>
    <w:link w:val="Heading2"/>
    <w:rsid w:val="00FD64CA"/>
    <w:rPr>
      <w:rFonts w:ascii="Cambria" w:eastAsia="Times New Roman" w:hAnsi="Cambria" w:cs="Times New Roman"/>
      <w:b/>
      <w:bCs/>
      <w:i/>
      <w:iCs/>
      <w:sz w:val="28"/>
      <w:szCs w:val="28"/>
      <w:lang w:eastAsia="en-US"/>
    </w:rPr>
  </w:style>
  <w:style w:type="paragraph" w:styleId="TOCHeading">
    <w:name w:val="TOC Heading"/>
    <w:basedOn w:val="Heading1"/>
    <w:next w:val="Normal"/>
    <w:uiPriority w:val="39"/>
    <w:unhideWhenUsed/>
    <w:qFormat/>
    <w:rsid w:val="00FD64CA"/>
    <w:pPr>
      <w:keepLines/>
      <w:spacing w:before="480" w:line="276" w:lineRule="auto"/>
      <w:jc w:val="left"/>
      <w:outlineLvl w:val="9"/>
    </w:pPr>
    <w:rPr>
      <w:rFonts w:ascii="Cambria" w:eastAsia="MS Gothic" w:hAnsi="Cambria"/>
      <w:b/>
      <w:bCs/>
      <w:color w:val="365F91"/>
      <w:sz w:val="28"/>
      <w:szCs w:val="28"/>
      <w:lang w:val="en-US" w:eastAsia="ja-JP"/>
    </w:rPr>
  </w:style>
  <w:style w:type="paragraph" w:styleId="TOC1">
    <w:name w:val="toc 1"/>
    <w:basedOn w:val="Normal"/>
    <w:next w:val="Normal"/>
    <w:autoRedefine/>
    <w:uiPriority w:val="39"/>
    <w:qFormat/>
    <w:locked/>
    <w:rsid w:val="00FD64CA"/>
  </w:style>
  <w:style w:type="paragraph" w:styleId="TOC2">
    <w:name w:val="toc 2"/>
    <w:basedOn w:val="Normal"/>
    <w:next w:val="Normal"/>
    <w:autoRedefine/>
    <w:uiPriority w:val="39"/>
    <w:qFormat/>
    <w:locked/>
    <w:rsid w:val="00A00D8B"/>
    <w:pPr>
      <w:tabs>
        <w:tab w:val="right" w:leader="dot" w:pos="9204"/>
      </w:tabs>
      <w:jc w:val="both"/>
    </w:pPr>
    <w:rPr>
      <w:b/>
      <w:noProof/>
    </w:rPr>
  </w:style>
  <w:style w:type="character" w:styleId="FootnoteReference">
    <w:name w:val="footnote reference"/>
    <w:aliases w:val="(Footnote Reference),number"/>
    <w:basedOn w:val="DefaultParagraphFont"/>
    <w:uiPriority w:val="99"/>
    <w:unhideWhenUsed/>
    <w:rsid w:val="00762373"/>
    <w:rPr>
      <w:vertAlign w:val="superscript"/>
    </w:rPr>
  </w:style>
  <w:style w:type="character" w:styleId="Emphasis">
    <w:name w:val="Emphasis"/>
    <w:basedOn w:val="DefaultParagraphFont"/>
    <w:qFormat/>
    <w:locked/>
    <w:rsid w:val="0053085B"/>
    <w:rPr>
      <w:i/>
      <w:iCs/>
    </w:rPr>
  </w:style>
  <w:style w:type="paragraph" w:styleId="Title">
    <w:name w:val="Title"/>
    <w:basedOn w:val="Normal"/>
    <w:next w:val="Normal"/>
    <w:link w:val="TitleChar"/>
    <w:qFormat/>
    <w:locked/>
    <w:rsid w:val="005308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085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6Char">
    <w:name w:val="Heading 6 Char"/>
    <w:basedOn w:val="DefaultParagraphFont"/>
    <w:link w:val="Heading6"/>
    <w:rsid w:val="00002BEE"/>
    <w:rPr>
      <w:rFonts w:asciiTheme="majorHAnsi" w:eastAsiaTheme="majorEastAsia" w:hAnsiTheme="majorHAnsi" w:cstheme="majorBidi"/>
      <w:i/>
      <w:iCs/>
      <w:color w:val="243F60" w:themeColor="accent1" w:themeShade="7F"/>
      <w:sz w:val="22"/>
      <w:szCs w:val="22"/>
      <w:lang w:eastAsia="en-US"/>
    </w:rPr>
  </w:style>
  <w:style w:type="paragraph" w:styleId="Subtitle">
    <w:name w:val="Subtitle"/>
    <w:basedOn w:val="Normal"/>
    <w:next w:val="Normal"/>
    <w:link w:val="SubtitleChar"/>
    <w:qFormat/>
    <w:locked/>
    <w:rsid w:val="00002B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02BEE"/>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qFormat/>
    <w:rsid w:val="00002BEE"/>
    <w:rPr>
      <w:b/>
      <w:bCs/>
      <w:i/>
      <w:iCs/>
      <w:color w:val="4F81BD" w:themeColor="accent1"/>
    </w:rPr>
  </w:style>
  <w:style w:type="paragraph" w:styleId="TOC3">
    <w:name w:val="toc 3"/>
    <w:basedOn w:val="Normal"/>
    <w:next w:val="Normal"/>
    <w:autoRedefine/>
    <w:uiPriority w:val="39"/>
    <w:unhideWhenUsed/>
    <w:qFormat/>
    <w:locked/>
    <w:rsid w:val="00002BEE"/>
    <w:pPr>
      <w:spacing w:after="100"/>
      <w:ind w:left="440"/>
    </w:pPr>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509F-0252-4032-A13D-7A234024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4570</Words>
  <Characters>26054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dan4e</dc:creator>
  <cp:lastModifiedBy>Use</cp:lastModifiedBy>
  <cp:revision>2</cp:revision>
  <cp:lastPrinted>2015-12-09T11:03:00Z</cp:lastPrinted>
  <dcterms:created xsi:type="dcterms:W3CDTF">2016-03-04T09:44:00Z</dcterms:created>
  <dcterms:modified xsi:type="dcterms:W3CDTF">2016-03-04T09:44:00Z</dcterms:modified>
</cp:coreProperties>
</file>